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265" w:rsidRPr="001F3AF0" w:rsidRDefault="00BA7265" w:rsidP="00DC2B87">
      <w:pPr>
        <w:pStyle w:val="Nzev"/>
        <w:jc w:val="both"/>
        <w:rPr>
          <w:rFonts w:ascii="Times New Roman" w:hAnsi="Times New Roman"/>
          <w:color w:val="auto"/>
        </w:rPr>
      </w:pPr>
      <w:r w:rsidRPr="00AB7AF7">
        <w:rPr>
          <w:rFonts w:ascii="Times New Roman" w:hAnsi="Times New Roman"/>
          <w:color w:val="auto"/>
          <w:highlight w:val="yellow"/>
        </w:rPr>
        <w:t>Pradaxa, Xarelto, Eliquis</w:t>
      </w:r>
      <w:r w:rsidR="00D97339" w:rsidRPr="00AB7AF7">
        <w:rPr>
          <w:rFonts w:ascii="Times New Roman" w:hAnsi="Times New Roman"/>
          <w:color w:val="auto"/>
          <w:highlight w:val="yellow"/>
        </w:rPr>
        <w:t xml:space="preserve"> (N</w:t>
      </w:r>
      <w:r w:rsidR="00AF47AA" w:rsidRPr="00AB7AF7">
        <w:rPr>
          <w:rFonts w:ascii="Times New Roman" w:hAnsi="Times New Roman"/>
          <w:color w:val="auto"/>
          <w:highlight w:val="yellow"/>
        </w:rPr>
        <w:t>OAC)</w:t>
      </w:r>
      <w:bookmarkStart w:id="0" w:name="_GoBack"/>
      <w:bookmarkEnd w:id="0"/>
      <w:r w:rsidR="00441B95">
        <w:rPr>
          <w:rFonts w:ascii="Times New Roman" w:hAnsi="Times New Roman"/>
          <w:color w:val="auto"/>
        </w:rPr>
        <w:t xml:space="preserve"> </w:t>
      </w:r>
    </w:p>
    <w:p w:rsidR="00BA7265" w:rsidRPr="001F3AF0" w:rsidRDefault="00D97339" w:rsidP="00DC2B87">
      <w:pPr>
        <w:jc w:val="both"/>
        <w:rPr>
          <w:rFonts w:ascii="Times New Roman" w:hAnsi="Times New Roman"/>
        </w:rPr>
      </w:pPr>
      <w:r w:rsidRPr="001F3AF0">
        <w:rPr>
          <w:rFonts w:ascii="Times New Roman" w:hAnsi="Times New Roman" w:cs="Times New Roman"/>
        </w:rPr>
        <w:t>S</w:t>
      </w:r>
      <w:r w:rsidR="00486D6B" w:rsidRPr="001F3AF0">
        <w:rPr>
          <w:rFonts w:ascii="Times New Roman" w:hAnsi="Times New Roman" w:cs="Times New Roman"/>
        </w:rPr>
        <w:t>hrnující</w:t>
      </w:r>
      <w:r w:rsidR="00486D6B" w:rsidRPr="001F3AF0">
        <w:rPr>
          <w:rFonts w:ascii="Times New Roman" w:hAnsi="Times New Roman"/>
        </w:rPr>
        <w:t xml:space="preserve"> </w:t>
      </w:r>
      <w:r w:rsidR="00BA7265" w:rsidRPr="001F3AF0">
        <w:rPr>
          <w:rFonts w:ascii="Times New Roman" w:hAnsi="Times New Roman"/>
        </w:rPr>
        <w:t xml:space="preserve">zápis z jednání mezi zástupci VZP ČR, České kardiologické společnosti, České internistické společnosti, </w:t>
      </w:r>
      <w:r w:rsidR="00AF47AA" w:rsidRPr="001F3AF0">
        <w:rPr>
          <w:rFonts w:ascii="Times New Roman" w:hAnsi="Times New Roman"/>
        </w:rPr>
        <w:t xml:space="preserve">České neurologické společnosti, </w:t>
      </w:r>
      <w:r w:rsidR="00BA7265" w:rsidRPr="001F3AF0">
        <w:rPr>
          <w:rFonts w:ascii="Times New Roman" w:hAnsi="Times New Roman"/>
        </w:rPr>
        <w:t>Sdružení ambulantních specialistů</w:t>
      </w:r>
      <w:r w:rsidR="00AF47AA" w:rsidRPr="001F3AF0">
        <w:rPr>
          <w:rFonts w:ascii="Times New Roman" w:hAnsi="Times New Roman"/>
        </w:rPr>
        <w:t xml:space="preserve"> a</w:t>
      </w:r>
      <w:r w:rsidR="00BA7265" w:rsidRPr="001F3AF0">
        <w:rPr>
          <w:rFonts w:ascii="Times New Roman" w:hAnsi="Times New Roman"/>
        </w:rPr>
        <w:t xml:space="preserve"> České s</w:t>
      </w:r>
      <w:r w:rsidR="00AF47AA" w:rsidRPr="001F3AF0">
        <w:rPr>
          <w:rFonts w:ascii="Times New Roman" w:hAnsi="Times New Roman"/>
        </w:rPr>
        <w:t>polečnosti pro trombózu a hemostázu.</w:t>
      </w:r>
    </w:p>
    <w:p w:rsidR="00AF47AA" w:rsidRPr="001F3AF0" w:rsidRDefault="00AF47AA" w:rsidP="00DC2B87">
      <w:pPr>
        <w:jc w:val="both"/>
        <w:rPr>
          <w:rFonts w:ascii="Times New Roman" w:hAnsi="Times New Roman"/>
        </w:rPr>
      </w:pPr>
      <w:r w:rsidRPr="001F3AF0">
        <w:rPr>
          <w:rFonts w:ascii="Times New Roman" w:hAnsi="Times New Roman"/>
        </w:rPr>
        <w:t>Účelem dokumentu je sjednotit zápisy z jednání ze dnů 22.</w:t>
      </w:r>
      <w:r w:rsidR="00486D6B" w:rsidRPr="001F3AF0">
        <w:rPr>
          <w:rFonts w:ascii="Times New Roman" w:hAnsi="Times New Roman" w:cs="Times New Roman"/>
        </w:rPr>
        <w:t xml:space="preserve"> </w:t>
      </w:r>
      <w:r w:rsidRPr="001F3AF0">
        <w:rPr>
          <w:rFonts w:ascii="Times New Roman" w:hAnsi="Times New Roman"/>
        </w:rPr>
        <w:t>4., 2.</w:t>
      </w:r>
      <w:r w:rsidR="00486D6B" w:rsidRPr="001F3AF0">
        <w:rPr>
          <w:rFonts w:ascii="Times New Roman" w:hAnsi="Times New Roman" w:cs="Times New Roman"/>
        </w:rPr>
        <w:t xml:space="preserve"> </w:t>
      </w:r>
      <w:r w:rsidRPr="001F3AF0">
        <w:rPr>
          <w:rFonts w:ascii="Times New Roman" w:hAnsi="Times New Roman"/>
        </w:rPr>
        <w:t>7., 3.</w:t>
      </w:r>
      <w:r w:rsidR="00486D6B" w:rsidRPr="001F3AF0">
        <w:rPr>
          <w:rFonts w:ascii="Times New Roman" w:hAnsi="Times New Roman" w:cs="Times New Roman"/>
        </w:rPr>
        <w:t xml:space="preserve"> </w:t>
      </w:r>
      <w:r w:rsidRPr="001F3AF0">
        <w:rPr>
          <w:rFonts w:ascii="Times New Roman" w:hAnsi="Times New Roman"/>
        </w:rPr>
        <w:t>11. 2015 a 22.</w:t>
      </w:r>
      <w:r w:rsidR="00486D6B" w:rsidRPr="001F3AF0">
        <w:rPr>
          <w:rFonts w:ascii="Times New Roman" w:hAnsi="Times New Roman" w:cs="Times New Roman"/>
        </w:rPr>
        <w:t xml:space="preserve"> </w:t>
      </w:r>
      <w:r w:rsidRPr="001F3AF0">
        <w:rPr>
          <w:rFonts w:ascii="Times New Roman" w:hAnsi="Times New Roman"/>
        </w:rPr>
        <w:t>4.</w:t>
      </w:r>
      <w:r w:rsidR="00486D6B" w:rsidRPr="001F3AF0">
        <w:rPr>
          <w:rFonts w:ascii="Times New Roman" w:hAnsi="Times New Roman" w:cs="Times New Roman"/>
        </w:rPr>
        <w:t xml:space="preserve"> </w:t>
      </w:r>
      <w:r w:rsidRPr="001F3AF0">
        <w:rPr>
          <w:rFonts w:ascii="Times New Roman" w:hAnsi="Times New Roman"/>
        </w:rPr>
        <w:t xml:space="preserve">2016 a zapracovat </w:t>
      </w:r>
      <w:r w:rsidRPr="001F3AF0">
        <w:rPr>
          <w:rFonts w:ascii="Times New Roman" w:hAnsi="Times New Roman" w:cs="Times New Roman"/>
        </w:rPr>
        <w:t>některé</w:t>
      </w:r>
      <w:r w:rsidR="00486D6B" w:rsidRPr="001F3AF0">
        <w:rPr>
          <w:rFonts w:ascii="Times New Roman" w:hAnsi="Times New Roman"/>
        </w:rPr>
        <w:t xml:space="preserve"> </w:t>
      </w:r>
      <w:r w:rsidRPr="001F3AF0">
        <w:rPr>
          <w:rFonts w:ascii="Times New Roman" w:hAnsi="Times New Roman"/>
        </w:rPr>
        <w:t>připomínky zejména České neurologické společnosti.</w:t>
      </w:r>
    </w:p>
    <w:p w:rsidR="00AF47AA" w:rsidRPr="001F3AF0" w:rsidRDefault="00AF47AA" w:rsidP="00DC2B87">
      <w:pPr>
        <w:jc w:val="both"/>
        <w:rPr>
          <w:rFonts w:ascii="Times New Roman" w:hAnsi="Times New Roman"/>
        </w:rPr>
      </w:pPr>
      <w:r w:rsidRPr="001F3AF0">
        <w:rPr>
          <w:rFonts w:ascii="Times New Roman" w:hAnsi="Times New Roman"/>
        </w:rPr>
        <w:t>Přítomni za VZP ČR:</w:t>
      </w:r>
    </w:p>
    <w:p w:rsidR="00AF47AA" w:rsidRPr="001F3AF0" w:rsidRDefault="00AF47AA" w:rsidP="00DC2B87">
      <w:pPr>
        <w:jc w:val="both"/>
        <w:rPr>
          <w:rFonts w:ascii="Times New Roman" w:hAnsi="Times New Roman"/>
        </w:rPr>
      </w:pPr>
      <w:r w:rsidRPr="001F3AF0">
        <w:rPr>
          <w:rFonts w:ascii="Times New Roman" w:hAnsi="Times New Roman"/>
        </w:rPr>
        <w:t>MUDr. Emília Bartišková</w:t>
      </w:r>
    </w:p>
    <w:p w:rsidR="00AF47AA" w:rsidRPr="001F3AF0" w:rsidRDefault="00AF47AA" w:rsidP="00DC2B87">
      <w:pPr>
        <w:jc w:val="both"/>
        <w:rPr>
          <w:rFonts w:ascii="Times New Roman" w:hAnsi="Times New Roman"/>
        </w:rPr>
      </w:pPr>
      <w:r w:rsidRPr="001F3AF0">
        <w:rPr>
          <w:rFonts w:ascii="Times New Roman" w:hAnsi="Times New Roman"/>
        </w:rPr>
        <w:t>MUDr. Hana Hykyšová</w:t>
      </w:r>
    </w:p>
    <w:p w:rsidR="003227EF" w:rsidRPr="001F3AF0" w:rsidRDefault="003227EF" w:rsidP="00DC2B87">
      <w:pPr>
        <w:jc w:val="both"/>
        <w:rPr>
          <w:rFonts w:ascii="Times New Roman" w:hAnsi="Times New Roman"/>
        </w:rPr>
      </w:pPr>
      <w:r w:rsidRPr="001F3AF0">
        <w:rPr>
          <w:rFonts w:ascii="Times New Roman" w:hAnsi="Times New Roman"/>
        </w:rPr>
        <w:t>MUDr. Romana Švejdová</w:t>
      </w:r>
    </w:p>
    <w:p w:rsidR="00AF47AA" w:rsidRPr="001F3AF0" w:rsidRDefault="00AF47AA" w:rsidP="00DC2B87">
      <w:pPr>
        <w:jc w:val="both"/>
        <w:rPr>
          <w:rFonts w:ascii="Times New Roman" w:hAnsi="Times New Roman"/>
        </w:rPr>
      </w:pPr>
      <w:r w:rsidRPr="001F3AF0">
        <w:rPr>
          <w:rFonts w:ascii="Times New Roman" w:hAnsi="Times New Roman"/>
        </w:rPr>
        <w:t>MUDr. Adrian Barnáš</w:t>
      </w:r>
    </w:p>
    <w:p w:rsidR="00321639" w:rsidRPr="001F3AF0" w:rsidRDefault="00321639" w:rsidP="00DC2B87">
      <w:pPr>
        <w:jc w:val="both"/>
        <w:rPr>
          <w:rFonts w:ascii="Times New Roman" w:hAnsi="Times New Roman"/>
        </w:rPr>
      </w:pPr>
    </w:p>
    <w:p w:rsidR="00AF47AA" w:rsidRPr="001F3AF0" w:rsidRDefault="00AF47AA" w:rsidP="00DC2B87">
      <w:pPr>
        <w:jc w:val="both"/>
        <w:rPr>
          <w:rFonts w:ascii="Times New Roman" w:hAnsi="Times New Roman"/>
        </w:rPr>
      </w:pPr>
      <w:r w:rsidRPr="001F3AF0">
        <w:rPr>
          <w:rFonts w:ascii="Times New Roman" w:hAnsi="Times New Roman"/>
        </w:rPr>
        <w:t>Za odborné společnosti:</w:t>
      </w:r>
    </w:p>
    <w:p w:rsidR="00AF47AA" w:rsidRPr="001F3AF0" w:rsidRDefault="00AF47AA" w:rsidP="00DC2B87">
      <w:pPr>
        <w:jc w:val="both"/>
        <w:rPr>
          <w:rFonts w:ascii="Times New Roman" w:hAnsi="Times New Roman"/>
        </w:rPr>
      </w:pPr>
      <w:r w:rsidRPr="001F3AF0">
        <w:rPr>
          <w:rFonts w:ascii="Times New Roman" w:hAnsi="Times New Roman"/>
        </w:rPr>
        <w:t>Prof. MUDr. Miloš Táborský, CSc., FESC, MBA</w:t>
      </w:r>
    </w:p>
    <w:p w:rsidR="00AF47AA" w:rsidRPr="001F3AF0" w:rsidRDefault="00AF47AA" w:rsidP="00DC2B87">
      <w:pPr>
        <w:jc w:val="both"/>
        <w:rPr>
          <w:rFonts w:ascii="Times New Roman" w:hAnsi="Times New Roman"/>
        </w:rPr>
      </w:pPr>
      <w:r w:rsidRPr="001F3AF0">
        <w:rPr>
          <w:rFonts w:ascii="Times New Roman" w:hAnsi="Times New Roman"/>
        </w:rPr>
        <w:t>MUDr. Robert Čihák, CSc.</w:t>
      </w:r>
    </w:p>
    <w:p w:rsidR="00AF47AA" w:rsidRPr="001F3AF0" w:rsidRDefault="00AF47AA" w:rsidP="00DC2B87">
      <w:pPr>
        <w:jc w:val="both"/>
        <w:rPr>
          <w:rFonts w:ascii="Times New Roman" w:hAnsi="Times New Roman"/>
        </w:rPr>
      </w:pPr>
      <w:r w:rsidRPr="001F3AF0">
        <w:rPr>
          <w:rFonts w:ascii="Times New Roman" w:hAnsi="Times New Roman"/>
        </w:rPr>
        <w:t>MUDr. Hana Skalická, CSc.</w:t>
      </w:r>
      <w:r w:rsidR="003227EF" w:rsidRPr="001F3AF0">
        <w:rPr>
          <w:rFonts w:ascii="Times New Roman" w:hAnsi="Times New Roman"/>
        </w:rPr>
        <w:t>, FESC</w:t>
      </w:r>
    </w:p>
    <w:p w:rsidR="00AF47AA" w:rsidRPr="001F3AF0" w:rsidRDefault="00AF47AA" w:rsidP="00DC2B87">
      <w:pPr>
        <w:jc w:val="both"/>
        <w:rPr>
          <w:rFonts w:ascii="Times New Roman" w:hAnsi="Times New Roman"/>
        </w:rPr>
      </w:pPr>
      <w:r w:rsidRPr="001F3AF0">
        <w:rPr>
          <w:rFonts w:ascii="Times New Roman" w:hAnsi="Times New Roman"/>
        </w:rPr>
        <w:t>Prof. MUDr. Jan Kvasnička, DrSc.</w:t>
      </w:r>
    </w:p>
    <w:p w:rsidR="00AF47AA" w:rsidRPr="001F3AF0" w:rsidRDefault="00AF47AA" w:rsidP="00DC2B87">
      <w:pPr>
        <w:jc w:val="both"/>
        <w:rPr>
          <w:rFonts w:ascii="Times New Roman" w:hAnsi="Times New Roman"/>
        </w:rPr>
      </w:pPr>
      <w:r w:rsidRPr="001F3AF0">
        <w:rPr>
          <w:rFonts w:ascii="Times New Roman" w:hAnsi="Times New Roman"/>
        </w:rPr>
        <w:t>Prof. MUDr. Richard Češka, CSc., FACP, FEFIM</w:t>
      </w:r>
    </w:p>
    <w:p w:rsidR="00AF47AA" w:rsidRPr="001F3AF0" w:rsidRDefault="00AF47AA" w:rsidP="00DC2B87">
      <w:pPr>
        <w:jc w:val="both"/>
        <w:rPr>
          <w:rStyle w:val="Siln"/>
          <w:rFonts w:ascii="Times New Roman" w:hAnsi="Times New Roman"/>
          <w:b w:val="0"/>
        </w:rPr>
      </w:pPr>
      <w:r w:rsidRPr="001F3AF0">
        <w:rPr>
          <w:rStyle w:val="Siln"/>
          <w:rFonts w:ascii="Times New Roman" w:hAnsi="Times New Roman"/>
          <w:b w:val="0"/>
        </w:rPr>
        <w:t>prim. MUDr. Aleš Tomek, Ph.D., FESO</w:t>
      </w:r>
    </w:p>
    <w:p w:rsidR="003F6934" w:rsidRPr="001F3AF0" w:rsidRDefault="003F6934" w:rsidP="00DC2B87">
      <w:pPr>
        <w:jc w:val="both"/>
        <w:rPr>
          <w:rStyle w:val="Siln"/>
          <w:rFonts w:ascii="Times New Roman" w:hAnsi="Times New Roman"/>
          <w:b w:val="0"/>
        </w:rPr>
      </w:pPr>
      <w:r w:rsidRPr="001F3AF0">
        <w:rPr>
          <w:rStyle w:val="Siln"/>
          <w:rFonts w:ascii="Times New Roman" w:hAnsi="Times New Roman"/>
          <w:b w:val="0"/>
        </w:rPr>
        <w:t>MUDr. Zorjan Jojko</w:t>
      </w:r>
    </w:p>
    <w:p w:rsidR="00B63983" w:rsidRPr="001F3AF0" w:rsidRDefault="00B63983" w:rsidP="00DC2B87">
      <w:pPr>
        <w:jc w:val="both"/>
        <w:rPr>
          <w:rStyle w:val="Siln"/>
          <w:rFonts w:ascii="Times New Roman" w:hAnsi="Times New Roman"/>
          <w:b w:val="0"/>
        </w:rPr>
      </w:pPr>
    </w:p>
    <w:p w:rsidR="00B63983" w:rsidRPr="001F3AF0" w:rsidRDefault="00B63983" w:rsidP="00DC2B87">
      <w:pPr>
        <w:jc w:val="both"/>
        <w:rPr>
          <w:rFonts w:ascii="Times New Roman" w:hAnsi="Times New Roman"/>
        </w:rPr>
      </w:pPr>
      <w:r w:rsidRPr="001F3AF0">
        <w:rPr>
          <w:rFonts w:ascii="Times New Roman" w:hAnsi="Times New Roman"/>
        </w:rPr>
        <w:t>Účelem proběhlých jednání bylo sjednotit názor na interpretaci indikační</w:t>
      </w:r>
      <w:r w:rsidR="00D97339" w:rsidRPr="001F3AF0">
        <w:rPr>
          <w:rFonts w:ascii="Times New Roman" w:hAnsi="Times New Roman"/>
        </w:rPr>
        <w:t xml:space="preserve">ho omezení </w:t>
      </w:r>
      <w:r w:rsidRPr="001F3AF0">
        <w:rPr>
          <w:rFonts w:ascii="Times New Roman" w:hAnsi="Times New Roman"/>
        </w:rPr>
        <w:t xml:space="preserve">úhrady </w:t>
      </w:r>
      <w:r w:rsidR="00D97339" w:rsidRPr="001F3AF0">
        <w:rPr>
          <w:rFonts w:ascii="Times New Roman" w:hAnsi="Times New Roman"/>
        </w:rPr>
        <w:t xml:space="preserve">NOAC z prostředků veřejného zdravotního pojištění </w:t>
      </w:r>
      <w:r w:rsidRPr="001F3AF0">
        <w:rPr>
          <w:rFonts w:ascii="Times New Roman" w:hAnsi="Times New Roman"/>
        </w:rPr>
        <w:t>a to především:</w:t>
      </w:r>
    </w:p>
    <w:p w:rsidR="00B63983" w:rsidRPr="001F3AF0" w:rsidRDefault="00B63983" w:rsidP="00DC2B87">
      <w:pPr>
        <w:pStyle w:val="Odstavecseseznamem"/>
        <w:numPr>
          <w:ilvl w:val="0"/>
          <w:numId w:val="11"/>
        </w:numPr>
        <w:jc w:val="both"/>
        <w:rPr>
          <w:rStyle w:val="Siln"/>
          <w:rFonts w:ascii="Times New Roman" w:hAnsi="Times New Roman"/>
          <w:b w:val="0"/>
        </w:rPr>
      </w:pPr>
      <w:r w:rsidRPr="001F3AF0">
        <w:rPr>
          <w:rStyle w:val="Siln"/>
          <w:rFonts w:ascii="Times New Roman" w:hAnsi="Times New Roman"/>
          <w:b w:val="0"/>
        </w:rPr>
        <w:t>Nemožnost pravidelných kontrol INR</w:t>
      </w:r>
    </w:p>
    <w:p w:rsidR="00B63983" w:rsidRPr="001F3AF0" w:rsidRDefault="00B63983" w:rsidP="00DC2B87">
      <w:pPr>
        <w:pStyle w:val="Odstavecseseznamem"/>
        <w:numPr>
          <w:ilvl w:val="0"/>
          <w:numId w:val="11"/>
        </w:numPr>
        <w:jc w:val="both"/>
        <w:rPr>
          <w:rStyle w:val="Siln"/>
          <w:rFonts w:ascii="Times New Roman" w:hAnsi="Times New Roman"/>
          <w:b w:val="0"/>
        </w:rPr>
      </w:pPr>
      <w:r w:rsidRPr="001F3AF0">
        <w:rPr>
          <w:rStyle w:val="Siln"/>
          <w:rFonts w:ascii="Times New Roman" w:hAnsi="Times New Roman"/>
          <w:b w:val="0"/>
        </w:rPr>
        <w:t>Nežádoucí účinky při léčbě Warfarinem</w:t>
      </w:r>
    </w:p>
    <w:p w:rsidR="00B63983" w:rsidRPr="001F3AF0" w:rsidRDefault="00B63983" w:rsidP="00DC2B87">
      <w:pPr>
        <w:pStyle w:val="Odstavecseseznamem"/>
        <w:numPr>
          <w:ilvl w:val="0"/>
          <w:numId w:val="11"/>
        </w:numPr>
        <w:jc w:val="both"/>
        <w:rPr>
          <w:rStyle w:val="Siln"/>
          <w:rFonts w:ascii="Times New Roman" w:hAnsi="Times New Roman"/>
          <w:b w:val="0"/>
        </w:rPr>
      </w:pPr>
      <w:r w:rsidRPr="001F3AF0">
        <w:rPr>
          <w:rStyle w:val="Siln"/>
          <w:rFonts w:ascii="Times New Roman" w:hAnsi="Times New Roman"/>
          <w:b w:val="0"/>
        </w:rPr>
        <w:t>Kontraindikace Warfarinu</w:t>
      </w:r>
    </w:p>
    <w:p w:rsidR="00EA3AC4" w:rsidRPr="001F3AF0" w:rsidRDefault="00EA3AC4" w:rsidP="00DC2B87">
      <w:pPr>
        <w:pStyle w:val="Odstavecseseznamem"/>
        <w:jc w:val="both"/>
        <w:rPr>
          <w:rStyle w:val="Siln"/>
          <w:rFonts w:ascii="Times New Roman" w:hAnsi="Times New Roman"/>
          <w:b w:val="0"/>
        </w:rPr>
      </w:pPr>
    </w:p>
    <w:p w:rsidR="00EA3AC4" w:rsidRPr="001F3AF0" w:rsidRDefault="00EA3AC4" w:rsidP="00DC2B87">
      <w:pPr>
        <w:jc w:val="both"/>
        <w:rPr>
          <w:rFonts w:ascii="Times New Roman" w:hAnsi="Times New Roman"/>
          <w:b/>
          <w:sz w:val="24"/>
        </w:rPr>
      </w:pPr>
      <w:r w:rsidRPr="001F3AF0">
        <w:rPr>
          <w:rFonts w:ascii="Times New Roman" w:hAnsi="Times New Roman"/>
          <w:b/>
          <w:sz w:val="24"/>
        </w:rPr>
        <w:br w:type="page"/>
      </w:r>
    </w:p>
    <w:p w:rsidR="0073440D" w:rsidRPr="001F3AF0" w:rsidRDefault="00B63983" w:rsidP="00EC0C1A">
      <w:pPr>
        <w:pStyle w:val="Odstavecseseznamem"/>
        <w:jc w:val="both"/>
        <w:rPr>
          <w:rFonts w:ascii="Times New Roman" w:hAnsi="Times New Roman"/>
          <w:b/>
          <w:sz w:val="24"/>
        </w:rPr>
      </w:pPr>
      <w:r w:rsidRPr="001F3AF0">
        <w:rPr>
          <w:rFonts w:ascii="Times New Roman" w:hAnsi="Times New Roman"/>
          <w:b/>
          <w:sz w:val="24"/>
        </w:rPr>
        <w:lastRenderedPageBreak/>
        <w:t xml:space="preserve">Preskripce </w:t>
      </w:r>
      <w:r w:rsidR="00D97339" w:rsidRPr="001F3AF0">
        <w:rPr>
          <w:rFonts w:ascii="Times New Roman" w:hAnsi="Times New Roman"/>
          <w:b/>
          <w:sz w:val="24"/>
        </w:rPr>
        <w:t>N</w:t>
      </w:r>
      <w:r w:rsidRPr="001F3AF0">
        <w:rPr>
          <w:rFonts w:ascii="Times New Roman" w:hAnsi="Times New Roman"/>
          <w:b/>
          <w:sz w:val="24"/>
        </w:rPr>
        <w:t>OAC v</w:t>
      </w:r>
      <w:r w:rsidR="000A0741" w:rsidRPr="001F3AF0">
        <w:rPr>
          <w:rFonts w:ascii="Times New Roman" w:hAnsi="Times New Roman"/>
          <w:b/>
          <w:sz w:val="24"/>
        </w:rPr>
        <w:t> prevenci cévní mozkové příhody a systémové embolizace u dospělých pacientů s nevalvulární fibrilaci síní indikovaných k antikoagulační léčbě při kontraindikaci Warfarinu</w:t>
      </w:r>
    </w:p>
    <w:p w:rsidR="000A0741" w:rsidRPr="001F3AF0" w:rsidRDefault="000A0741" w:rsidP="00995845">
      <w:pPr>
        <w:pStyle w:val="Odstavecseseznamem"/>
        <w:jc w:val="both"/>
        <w:rPr>
          <w:rFonts w:ascii="Times New Roman" w:hAnsi="Times New Roman"/>
        </w:rPr>
      </w:pPr>
    </w:p>
    <w:p w:rsidR="000A0741" w:rsidRPr="001F3AF0" w:rsidRDefault="000A0741" w:rsidP="00995845">
      <w:pPr>
        <w:pStyle w:val="Odstavecseseznamem"/>
        <w:jc w:val="both"/>
        <w:rPr>
          <w:rFonts w:ascii="Times New Roman" w:hAnsi="Times New Roman"/>
        </w:rPr>
      </w:pPr>
      <w:r w:rsidRPr="001F3AF0">
        <w:rPr>
          <w:rFonts w:ascii="Times New Roman" w:hAnsi="Times New Roman"/>
        </w:rPr>
        <w:t xml:space="preserve">Obecně platí, </w:t>
      </w:r>
      <w:r w:rsidR="00D97339" w:rsidRPr="001F3AF0">
        <w:rPr>
          <w:rFonts w:ascii="Times New Roman" w:hAnsi="Times New Roman"/>
        </w:rPr>
        <w:t>že u pacientů</w:t>
      </w:r>
      <w:r w:rsidRPr="001F3AF0">
        <w:rPr>
          <w:rFonts w:ascii="Times New Roman" w:hAnsi="Times New Roman"/>
        </w:rPr>
        <w:t xml:space="preserve"> dlouhodobě užívajících Warfarin s hodnotami INR v terapeutickém rozmezí nebude VZP bez dalšího akceptovat preskripci NOAC.</w:t>
      </w:r>
    </w:p>
    <w:p w:rsidR="00BA7265" w:rsidRPr="001F3AF0" w:rsidRDefault="00BA7265" w:rsidP="00995845">
      <w:pPr>
        <w:pStyle w:val="Odstavecseseznamem"/>
        <w:jc w:val="both"/>
        <w:rPr>
          <w:rFonts w:ascii="Times New Roman" w:hAnsi="Times New Roman"/>
        </w:rPr>
      </w:pPr>
      <w:r w:rsidRPr="001F3AF0">
        <w:rPr>
          <w:rFonts w:ascii="Times New Roman" w:hAnsi="Times New Roman"/>
        </w:rPr>
        <w:t>K jednotlivým bodům indikačního omezení úhrady platí následující:</w:t>
      </w:r>
    </w:p>
    <w:p w:rsidR="00602FB4" w:rsidRPr="001F3AF0" w:rsidRDefault="00602FB4" w:rsidP="00995845">
      <w:pPr>
        <w:pStyle w:val="Odstavecseseznamem"/>
        <w:jc w:val="both"/>
        <w:rPr>
          <w:rFonts w:ascii="Times New Roman" w:hAnsi="Times New Roman"/>
        </w:rPr>
      </w:pPr>
    </w:p>
    <w:p w:rsidR="00BA7265" w:rsidRPr="001F3AF0" w:rsidRDefault="000A0741" w:rsidP="00995845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</w:rPr>
      </w:pPr>
      <w:r w:rsidRPr="001F3AF0">
        <w:rPr>
          <w:rFonts w:ascii="Times New Roman" w:hAnsi="Times New Roman"/>
          <w:b/>
        </w:rPr>
        <w:t>Nemožnost pravidelných kontrol INR</w:t>
      </w:r>
      <w:r w:rsidRPr="001F3AF0">
        <w:rPr>
          <w:rFonts w:ascii="Times New Roman" w:hAnsi="Times New Roman"/>
        </w:rPr>
        <w:t xml:space="preserve">  </w:t>
      </w:r>
    </w:p>
    <w:p w:rsidR="000A0741" w:rsidRPr="001F3AF0" w:rsidRDefault="00BA7265" w:rsidP="00995845">
      <w:pPr>
        <w:pStyle w:val="Odstavecseseznamem"/>
        <w:ind w:left="1080"/>
        <w:jc w:val="both"/>
        <w:rPr>
          <w:rFonts w:ascii="Times New Roman" w:hAnsi="Times New Roman"/>
        </w:rPr>
      </w:pPr>
      <w:r w:rsidRPr="001F3AF0">
        <w:rPr>
          <w:rFonts w:ascii="Times New Roman" w:hAnsi="Times New Roman"/>
        </w:rPr>
        <w:t>L</w:t>
      </w:r>
      <w:r w:rsidR="000A0741" w:rsidRPr="001F3AF0">
        <w:rPr>
          <w:rFonts w:ascii="Times New Roman" w:hAnsi="Times New Roman"/>
        </w:rPr>
        <w:t xml:space="preserve">ze akceptovat jen </w:t>
      </w:r>
      <w:r w:rsidRPr="001F3AF0">
        <w:rPr>
          <w:rFonts w:ascii="Times New Roman" w:hAnsi="Times New Roman"/>
        </w:rPr>
        <w:t>výjimečně</w:t>
      </w:r>
      <w:r w:rsidR="000A0741" w:rsidRPr="001F3AF0">
        <w:rPr>
          <w:rFonts w:ascii="Times New Roman" w:hAnsi="Times New Roman"/>
        </w:rPr>
        <w:t>, neboť náběry INR lze realizovat cestou praktického lékaře (např. metodou POCT), službou home care, sestrou v pobytových zařízeních sociálních služeb apod. Tímto způsobem lze realizovat kontroly INR u nemocných imobilních, nemocných osamělých, žijících v domovech důchodců atp. Síť poskytovatelů např. domácí péče je podmínkách ČR dostatečně hustá</w:t>
      </w:r>
    </w:p>
    <w:p w:rsidR="00D97339" w:rsidRPr="001F3AF0" w:rsidRDefault="00D97339" w:rsidP="00995845">
      <w:pPr>
        <w:pStyle w:val="Odstavecseseznamem"/>
        <w:ind w:left="1080"/>
        <w:jc w:val="both"/>
        <w:rPr>
          <w:rFonts w:ascii="Times New Roman" w:hAnsi="Times New Roman"/>
        </w:rPr>
      </w:pPr>
    </w:p>
    <w:p w:rsidR="00D97339" w:rsidRPr="001F3AF0" w:rsidRDefault="00486D6B" w:rsidP="00995845">
      <w:pPr>
        <w:pStyle w:val="Odstavecseseznamem"/>
        <w:ind w:left="1080"/>
        <w:jc w:val="both"/>
        <w:rPr>
          <w:rFonts w:ascii="Times New Roman" w:hAnsi="Times New Roman"/>
        </w:rPr>
      </w:pPr>
      <w:r w:rsidRPr="001F3AF0">
        <w:rPr>
          <w:rFonts w:ascii="Times New Roman" w:hAnsi="Times New Roman" w:cs="Times New Roman"/>
          <w:b/>
        </w:rPr>
        <w:t>Neakcepovatelné případy</w:t>
      </w:r>
      <w:r w:rsidRPr="001F3AF0">
        <w:rPr>
          <w:rFonts w:ascii="Times New Roman" w:hAnsi="Times New Roman"/>
        </w:rPr>
        <w:t>:</w:t>
      </w:r>
      <w:r w:rsidR="00D97339" w:rsidRPr="001F3AF0">
        <w:rPr>
          <w:rFonts w:ascii="Times New Roman" w:hAnsi="Times New Roman"/>
        </w:rPr>
        <w:t xml:space="preserve"> polymorbidní špatně pohyblivý pacient, pacient nechce docházet na kontroly INR, problémy s dopravní obslužností, pacient odmítá dodržovat warfarinovou dietu, pacient je senior žijící sám, bydliště na odlehlém místě se špatnou dopravní obslužností, pacient se často stěhuje, křehké žíly apod.</w:t>
      </w:r>
    </w:p>
    <w:p w:rsidR="00D97339" w:rsidRPr="001F3AF0" w:rsidRDefault="00D97339" w:rsidP="00995845">
      <w:pPr>
        <w:pStyle w:val="Odstavecseseznamem"/>
        <w:ind w:left="1080"/>
        <w:jc w:val="both"/>
        <w:rPr>
          <w:rFonts w:ascii="Times New Roman" w:hAnsi="Times New Roman"/>
        </w:rPr>
      </w:pPr>
    </w:p>
    <w:p w:rsidR="000A0741" w:rsidRPr="001F3AF0" w:rsidRDefault="000A0741" w:rsidP="00995845">
      <w:pPr>
        <w:pStyle w:val="Odstavecseseznamem"/>
        <w:ind w:left="1080"/>
        <w:jc w:val="both"/>
        <w:rPr>
          <w:rFonts w:ascii="Times New Roman" w:hAnsi="Times New Roman"/>
        </w:rPr>
      </w:pPr>
      <w:r w:rsidRPr="001F3AF0">
        <w:rPr>
          <w:rFonts w:ascii="Times New Roman" w:hAnsi="Times New Roman"/>
        </w:rPr>
        <w:t>Výjimečně bude akceptována preskripce v případech déletrvajících výjezdů do zahraničí v</w:t>
      </w:r>
      <w:r w:rsidR="0034160C" w:rsidRPr="001F3AF0">
        <w:rPr>
          <w:rFonts w:ascii="Times New Roman" w:hAnsi="Times New Roman"/>
        </w:rPr>
        <w:t> </w:t>
      </w:r>
      <w:r w:rsidRPr="001F3AF0">
        <w:rPr>
          <w:rFonts w:ascii="Times New Roman" w:hAnsi="Times New Roman"/>
        </w:rPr>
        <w:t>mí</w:t>
      </w:r>
      <w:r w:rsidR="00BA7265" w:rsidRPr="001F3AF0">
        <w:rPr>
          <w:rFonts w:ascii="Times New Roman" w:hAnsi="Times New Roman"/>
        </w:rPr>
        <w:t>s</w:t>
      </w:r>
      <w:r w:rsidRPr="001F3AF0">
        <w:rPr>
          <w:rFonts w:ascii="Times New Roman" w:hAnsi="Times New Roman"/>
        </w:rPr>
        <w:t>tech, kde nelze kontroly INR zajistit.</w:t>
      </w:r>
    </w:p>
    <w:p w:rsidR="00602FB4" w:rsidRPr="001F3AF0" w:rsidRDefault="00602FB4" w:rsidP="00995845">
      <w:pPr>
        <w:pStyle w:val="Odstavecseseznamem"/>
        <w:ind w:left="1080"/>
        <w:jc w:val="both"/>
        <w:rPr>
          <w:rFonts w:ascii="Times New Roman" w:hAnsi="Times New Roman"/>
        </w:rPr>
      </w:pPr>
    </w:p>
    <w:p w:rsidR="000A0741" w:rsidRPr="001F3AF0" w:rsidRDefault="000A0741" w:rsidP="00995845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b/>
        </w:rPr>
      </w:pPr>
      <w:r w:rsidRPr="001F3AF0">
        <w:rPr>
          <w:rFonts w:ascii="Times New Roman" w:hAnsi="Times New Roman"/>
          <w:b/>
        </w:rPr>
        <w:t>Nežádoucí účinky při léčbě Warfarinem</w:t>
      </w:r>
    </w:p>
    <w:p w:rsidR="00F13E94" w:rsidRPr="001F3AF0" w:rsidRDefault="00D97339" w:rsidP="00995845">
      <w:pPr>
        <w:pStyle w:val="Odstavecseseznamem"/>
        <w:numPr>
          <w:ilvl w:val="1"/>
          <w:numId w:val="11"/>
        </w:numPr>
        <w:jc w:val="both"/>
        <w:rPr>
          <w:rFonts w:ascii="Times New Roman" w:hAnsi="Times New Roman"/>
        </w:rPr>
      </w:pPr>
      <w:r w:rsidRPr="001F3AF0">
        <w:rPr>
          <w:rFonts w:ascii="Times New Roman" w:hAnsi="Times New Roman"/>
        </w:rPr>
        <w:t>Musí</w:t>
      </w:r>
      <w:r w:rsidR="000A0741" w:rsidRPr="001F3AF0">
        <w:rPr>
          <w:rFonts w:ascii="Times New Roman" w:hAnsi="Times New Roman"/>
        </w:rPr>
        <w:t xml:space="preserve"> se jednat o závažné </w:t>
      </w:r>
      <w:r w:rsidR="00BA7265" w:rsidRPr="001F3AF0">
        <w:rPr>
          <w:rFonts w:ascii="Times New Roman" w:hAnsi="Times New Roman"/>
        </w:rPr>
        <w:t xml:space="preserve">nežádoucí </w:t>
      </w:r>
      <w:r w:rsidR="000A0741" w:rsidRPr="001F3AF0">
        <w:rPr>
          <w:rFonts w:ascii="Times New Roman" w:hAnsi="Times New Roman"/>
        </w:rPr>
        <w:t xml:space="preserve">účinky vyžadující lékařskou intervenci. </w:t>
      </w:r>
      <w:r w:rsidR="00F13E94" w:rsidRPr="001F3AF0">
        <w:rPr>
          <w:rFonts w:ascii="Times New Roman" w:hAnsi="Times New Roman"/>
        </w:rPr>
        <w:t xml:space="preserve">V dokumentaci musí být uvedeny hodnoty INR s datem měření, síla a dávkování Warfarinu. </w:t>
      </w:r>
    </w:p>
    <w:p w:rsidR="000A0741" w:rsidRPr="001F3AF0" w:rsidRDefault="000A0741" w:rsidP="00995845">
      <w:pPr>
        <w:pStyle w:val="Odstavecseseznamem"/>
        <w:numPr>
          <w:ilvl w:val="1"/>
          <w:numId w:val="11"/>
        </w:numPr>
        <w:jc w:val="both"/>
        <w:rPr>
          <w:rFonts w:ascii="Times New Roman" w:hAnsi="Times New Roman"/>
        </w:rPr>
      </w:pPr>
      <w:r w:rsidRPr="001F3AF0">
        <w:rPr>
          <w:rFonts w:ascii="Times New Roman" w:hAnsi="Times New Roman"/>
        </w:rPr>
        <w:t>V případě krvácení by mělo být pátráno po zdroji krvácení v </w:t>
      </w:r>
      <w:r w:rsidR="006E3C43" w:rsidRPr="001F3AF0">
        <w:rPr>
          <w:rFonts w:ascii="Times New Roman" w:hAnsi="Times New Roman"/>
        </w:rPr>
        <w:t>souladu se SPC</w:t>
      </w:r>
      <w:r w:rsidRPr="001F3AF0">
        <w:rPr>
          <w:rFonts w:ascii="Times New Roman" w:hAnsi="Times New Roman"/>
        </w:rPr>
        <w:t xml:space="preserve"> Warfarinu. Krvácení samo o sobě není takovým nežádoucím účinkem, který by měl nutně vést k převedení pacienta na Warfarin. Dle SPC jsou krv</w:t>
      </w:r>
      <w:r w:rsidR="00621095" w:rsidRPr="001F3AF0">
        <w:rPr>
          <w:rFonts w:ascii="Times New Roman" w:hAnsi="Times New Roman"/>
        </w:rPr>
        <w:t>ácivé stavy častou komplikací (1-10%) léčby Warfarinem, pravděpodobnost krvácení se zvyšuje s výrazným růstem hodnoty INR nad cílové rozmezí. Vyskytne-li se u pacienta krvácení, přestože hodnota INR leží v </w:t>
      </w:r>
      <w:r w:rsidR="00BA7265" w:rsidRPr="001F3AF0">
        <w:rPr>
          <w:rFonts w:ascii="Times New Roman" w:hAnsi="Times New Roman"/>
        </w:rPr>
        <w:t>terapeutickém</w:t>
      </w:r>
      <w:r w:rsidR="00621095" w:rsidRPr="001F3AF0">
        <w:rPr>
          <w:rFonts w:ascii="Times New Roman" w:hAnsi="Times New Roman"/>
        </w:rPr>
        <w:t xml:space="preserve"> rozmezí nebo pod ním, existuje zpravidla další přidružený stav, který je nutné vyšetřit.</w:t>
      </w:r>
    </w:p>
    <w:p w:rsidR="00F13E94" w:rsidRPr="00AB7AF7" w:rsidRDefault="00321639" w:rsidP="00995845">
      <w:pPr>
        <w:pStyle w:val="Odstavecseseznamem"/>
        <w:numPr>
          <w:ilvl w:val="1"/>
          <w:numId w:val="11"/>
        </w:numPr>
        <w:jc w:val="both"/>
        <w:rPr>
          <w:rFonts w:ascii="Times New Roman" w:hAnsi="Times New Roman"/>
          <w:highlight w:val="yellow"/>
        </w:rPr>
      </w:pPr>
      <w:r w:rsidRPr="00AB7AF7">
        <w:rPr>
          <w:rFonts w:ascii="Times New Roman" w:hAnsi="Times New Roman"/>
          <w:highlight w:val="yellow"/>
        </w:rPr>
        <w:t>VZP konstatuje, že k</w:t>
      </w:r>
      <w:r w:rsidR="00F13E94" w:rsidRPr="00AB7AF7">
        <w:rPr>
          <w:rFonts w:ascii="Times New Roman" w:hAnsi="Times New Roman"/>
          <w:highlight w:val="yellow"/>
        </w:rPr>
        <w:t>rvácení do</w:t>
      </w:r>
      <w:r w:rsidR="0034160C" w:rsidRPr="00AB7AF7">
        <w:rPr>
          <w:rFonts w:ascii="Times New Roman" w:hAnsi="Times New Roman"/>
          <w:highlight w:val="yellow"/>
        </w:rPr>
        <w:t xml:space="preserve"> CNS při léčbě Warfarinem bude </w:t>
      </w:r>
      <w:r w:rsidR="00F13E94" w:rsidRPr="00AB7AF7">
        <w:rPr>
          <w:rFonts w:ascii="Times New Roman" w:hAnsi="Times New Roman"/>
          <w:highlight w:val="yellow"/>
        </w:rPr>
        <w:t>a</w:t>
      </w:r>
      <w:r w:rsidR="0034160C" w:rsidRPr="00AB7AF7">
        <w:rPr>
          <w:rFonts w:ascii="Times New Roman" w:hAnsi="Times New Roman"/>
          <w:highlight w:val="yellow"/>
        </w:rPr>
        <w:t>kceptovat jako nežádoucí účinek</w:t>
      </w:r>
      <w:r w:rsidR="00F13E94" w:rsidRPr="00AB7AF7">
        <w:rPr>
          <w:rFonts w:ascii="Times New Roman" w:hAnsi="Times New Roman"/>
          <w:highlight w:val="yellow"/>
        </w:rPr>
        <w:t>, stejně tak bude jako</w:t>
      </w:r>
      <w:r w:rsidR="00F13E94" w:rsidRPr="00AB7AF7">
        <w:rPr>
          <w:rFonts w:ascii="Times New Roman" w:hAnsi="Times New Roman" w:cs="Times New Roman"/>
          <w:highlight w:val="yellow"/>
        </w:rPr>
        <w:t xml:space="preserve"> </w:t>
      </w:r>
      <w:r w:rsidR="0034160C" w:rsidRPr="00AB7AF7">
        <w:rPr>
          <w:rFonts w:ascii="Times New Roman" w:hAnsi="Times New Roman" w:cs="Times New Roman"/>
          <w:highlight w:val="yellow"/>
        </w:rPr>
        <w:t>možný</w:t>
      </w:r>
      <w:r w:rsidR="0034160C" w:rsidRPr="00AB7AF7">
        <w:rPr>
          <w:rFonts w:ascii="Times New Roman" w:hAnsi="Times New Roman"/>
          <w:highlight w:val="yellow"/>
        </w:rPr>
        <w:t xml:space="preserve"> </w:t>
      </w:r>
      <w:r w:rsidR="00F13E94" w:rsidRPr="00AB7AF7">
        <w:rPr>
          <w:rFonts w:ascii="Times New Roman" w:hAnsi="Times New Roman"/>
          <w:highlight w:val="yellow"/>
        </w:rPr>
        <w:t>důvod k převedení na NOAC akceptovat ischemickou CMP při léčbě Warfarinem.</w:t>
      </w:r>
    </w:p>
    <w:p w:rsidR="00621095" w:rsidRDefault="00621095" w:rsidP="00995845">
      <w:pPr>
        <w:pStyle w:val="Odstavecseseznamem"/>
        <w:numPr>
          <w:ilvl w:val="1"/>
          <w:numId w:val="11"/>
        </w:numPr>
        <w:jc w:val="both"/>
        <w:rPr>
          <w:rFonts w:ascii="Times New Roman" w:hAnsi="Times New Roman"/>
        </w:rPr>
      </w:pPr>
      <w:r w:rsidRPr="00AB7AF7">
        <w:rPr>
          <w:rFonts w:ascii="Times New Roman" w:hAnsi="Times New Roman"/>
          <w:highlight w:val="yellow"/>
        </w:rPr>
        <w:t>VZP</w:t>
      </w:r>
      <w:r w:rsidR="00F13E94" w:rsidRPr="00AB7AF7">
        <w:rPr>
          <w:rFonts w:ascii="Times New Roman" w:hAnsi="Times New Roman"/>
          <w:highlight w:val="yellow"/>
        </w:rPr>
        <w:t xml:space="preserve"> bude dále akceptovat jako důvod k preskripci NOAC</w:t>
      </w:r>
      <w:r w:rsidRPr="00AB7AF7">
        <w:rPr>
          <w:rFonts w:ascii="Times New Roman" w:hAnsi="Times New Roman"/>
          <w:highlight w:val="yellow"/>
        </w:rPr>
        <w:t xml:space="preserve"> souběžné užívání </w:t>
      </w:r>
      <w:r w:rsidR="00F13E94" w:rsidRPr="00AB7AF7">
        <w:rPr>
          <w:rFonts w:ascii="Times New Roman" w:hAnsi="Times New Roman"/>
          <w:highlight w:val="yellow"/>
        </w:rPr>
        <w:t xml:space="preserve">Warfarinu a </w:t>
      </w:r>
      <w:r w:rsidRPr="00AB7AF7">
        <w:rPr>
          <w:rFonts w:ascii="Times New Roman" w:hAnsi="Times New Roman"/>
          <w:highlight w:val="yellow"/>
        </w:rPr>
        <w:t xml:space="preserve">LP s významným rizikem </w:t>
      </w:r>
      <w:r w:rsidR="00907C0B" w:rsidRPr="00AB7AF7">
        <w:rPr>
          <w:rFonts w:ascii="Times New Roman" w:hAnsi="Times New Roman"/>
          <w:highlight w:val="yellow"/>
        </w:rPr>
        <w:t xml:space="preserve">potenciálních lékových interakcí </w:t>
      </w:r>
      <w:r w:rsidRPr="00AB7AF7">
        <w:rPr>
          <w:rFonts w:ascii="Times New Roman" w:hAnsi="Times New Roman"/>
          <w:highlight w:val="yellow"/>
        </w:rPr>
        <w:t>za situace, kdy léčbu nelze změnit.</w:t>
      </w:r>
      <w:r w:rsidRPr="001F3AF0">
        <w:rPr>
          <w:rFonts w:ascii="Times New Roman" w:hAnsi="Times New Roman"/>
        </w:rPr>
        <w:t xml:space="preserve"> Takové situace je </w:t>
      </w:r>
      <w:r w:rsidR="0034160C" w:rsidRPr="001F3AF0">
        <w:rPr>
          <w:rFonts w:ascii="Times New Roman" w:hAnsi="Times New Roman" w:cs="Times New Roman"/>
        </w:rPr>
        <w:t>nutné řádně a jednoznačně</w:t>
      </w:r>
      <w:r w:rsidR="0034160C" w:rsidRPr="001F3AF0">
        <w:rPr>
          <w:rFonts w:ascii="Times New Roman" w:hAnsi="Times New Roman"/>
        </w:rPr>
        <w:t xml:space="preserve"> </w:t>
      </w:r>
      <w:r w:rsidRPr="001F3AF0">
        <w:rPr>
          <w:rFonts w:ascii="Times New Roman" w:hAnsi="Times New Roman"/>
        </w:rPr>
        <w:t>zdokumentovat.</w:t>
      </w:r>
    </w:p>
    <w:p w:rsidR="006E3C43" w:rsidRPr="001F3AF0" w:rsidRDefault="003D0E3A">
      <w:pPr>
        <w:pStyle w:val="Odstavecseseznamem"/>
        <w:ind w:left="1080"/>
        <w:jc w:val="both"/>
        <w:rPr>
          <w:rFonts w:ascii="Times New Roman" w:hAnsi="Times New Roman"/>
        </w:rPr>
      </w:pPr>
      <w:r w:rsidRPr="00AB7AF7">
        <w:rPr>
          <w:rFonts w:ascii="Times New Roman" w:hAnsi="Times New Roman"/>
          <w:highlight w:val="yellow"/>
        </w:rPr>
        <w:t>Nedoložení hlášení NÚ na SÚKL není samo o sobě relevantním důvodem odmítnutí úhrady.</w:t>
      </w:r>
    </w:p>
    <w:p w:rsidR="006E3C43" w:rsidRPr="001F3AF0" w:rsidRDefault="0034160C">
      <w:pPr>
        <w:pStyle w:val="Odstavecseseznamem"/>
        <w:ind w:left="1080"/>
        <w:jc w:val="both"/>
        <w:rPr>
          <w:rFonts w:ascii="Times New Roman" w:hAnsi="Times New Roman"/>
        </w:rPr>
      </w:pPr>
      <w:r w:rsidRPr="001F3AF0">
        <w:rPr>
          <w:rFonts w:ascii="Times New Roman" w:hAnsi="Times New Roman" w:cs="Times New Roman"/>
          <w:b/>
        </w:rPr>
        <w:t>Neakceptovatelné případy</w:t>
      </w:r>
      <w:r w:rsidRPr="001F3AF0">
        <w:rPr>
          <w:rFonts w:ascii="Times New Roman" w:hAnsi="Times New Roman" w:cs="Times New Roman"/>
        </w:rPr>
        <w:t xml:space="preserve">: </w:t>
      </w:r>
      <w:r w:rsidR="006E3C43" w:rsidRPr="001F3AF0">
        <w:rPr>
          <w:rFonts w:ascii="Times New Roman" w:hAnsi="Times New Roman"/>
        </w:rPr>
        <w:t>Anamnestické údaje jako hematomy, krvácení z dá</w:t>
      </w:r>
      <w:r w:rsidRPr="001F3AF0">
        <w:rPr>
          <w:rFonts w:ascii="Times New Roman" w:hAnsi="Times New Roman"/>
        </w:rPr>
        <w:t xml:space="preserve">sní, epistaxe, silnější </w:t>
      </w:r>
      <w:r w:rsidRPr="001F3AF0">
        <w:rPr>
          <w:rFonts w:ascii="Times New Roman" w:hAnsi="Times New Roman" w:cs="Times New Roman"/>
        </w:rPr>
        <w:t>men</w:t>
      </w:r>
      <w:r w:rsidR="00B10807" w:rsidRPr="001F3AF0">
        <w:rPr>
          <w:rFonts w:ascii="Times New Roman" w:hAnsi="Times New Roman" w:cs="Times New Roman"/>
        </w:rPr>
        <w:t>s</w:t>
      </w:r>
      <w:r w:rsidRPr="001F3AF0">
        <w:rPr>
          <w:rFonts w:ascii="Times New Roman" w:hAnsi="Times New Roman" w:cs="Times New Roman"/>
        </w:rPr>
        <w:t>trua</w:t>
      </w:r>
      <w:r w:rsidR="006E3C43" w:rsidRPr="001F3AF0">
        <w:rPr>
          <w:rFonts w:ascii="Times New Roman" w:hAnsi="Times New Roman" w:cs="Times New Roman"/>
        </w:rPr>
        <w:t>ční</w:t>
      </w:r>
      <w:r w:rsidR="006E3C43" w:rsidRPr="001F3AF0">
        <w:rPr>
          <w:rFonts w:ascii="Times New Roman" w:hAnsi="Times New Roman"/>
        </w:rPr>
        <w:t xml:space="preserve"> krvácení s hodnotami INR v terapeutickém rozmezí, dále např. pouhé konstatování </w:t>
      </w:r>
      <w:r w:rsidR="006E3C43" w:rsidRPr="001F3AF0">
        <w:rPr>
          <w:rFonts w:ascii="Times New Roman" w:hAnsi="Times New Roman"/>
          <w:i/>
        </w:rPr>
        <w:t>pacient netoleruje Warfarin, pacient má svědivku apod</w:t>
      </w:r>
      <w:r w:rsidR="006E3C43" w:rsidRPr="001F3AF0">
        <w:rPr>
          <w:rFonts w:ascii="Times New Roman" w:hAnsi="Times New Roman"/>
        </w:rPr>
        <w:t>.</w:t>
      </w:r>
    </w:p>
    <w:p w:rsidR="00621095" w:rsidRPr="001F3AF0" w:rsidRDefault="00621095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b/>
        </w:rPr>
      </w:pPr>
      <w:r w:rsidRPr="001F3AF0">
        <w:rPr>
          <w:rFonts w:ascii="Times New Roman" w:hAnsi="Times New Roman"/>
          <w:b/>
        </w:rPr>
        <w:t xml:space="preserve">Nemožnost udržet INR v terapeutickém </w:t>
      </w:r>
      <w:r w:rsidR="00353103" w:rsidRPr="001F3AF0">
        <w:rPr>
          <w:rFonts w:ascii="Times New Roman" w:hAnsi="Times New Roman"/>
          <w:b/>
        </w:rPr>
        <w:t>rozmezí</w:t>
      </w:r>
      <w:r w:rsidRPr="001F3AF0">
        <w:rPr>
          <w:rFonts w:ascii="Times New Roman" w:hAnsi="Times New Roman"/>
          <w:b/>
        </w:rPr>
        <w:t xml:space="preserve"> 2,0-3,0, tzn. 2 z 6 měření nejsou v uvedeném terapeutickém rozmezí:</w:t>
      </w:r>
    </w:p>
    <w:p w:rsidR="00621095" w:rsidRPr="001F3AF0" w:rsidRDefault="00621095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F3AF0">
        <w:rPr>
          <w:rFonts w:ascii="Times New Roman" w:hAnsi="Times New Roman"/>
        </w:rPr>
        <w:lastRenderedPageBreak/>
        <w:t>Musí být zdokumentováno vyšetření INR v průběhu alespoň dvou měsíců, s doloženým dávkováním Warfarinu</w:t>
      </w:r>
      <w:r w:rsidR="00353103" w:rsidRPr="001F3AF0">
        <w:rPr>
          <w:rFonts w:ascii="Times New Roman" w:hAnsi="Times New Roman"/>
        </w:rPr>
        <w:t>, dále musí být</w:t>
      </w:r>
      <w:r w:rsidR="00E5653D" w:rsidRPr="001F3AF0">
        <w:rPr>
          <w:rFonts w:ascii="Times New Roman" w:hAnsi="Times New Roman"/>
        </w:rPr>
        <w:t xml:space="preserve"> dokumentováno, že</w:t>
      </w:r>
      <w:r w:rsidR="00353103" w:rsidRPr="001F3AF0">
        <w:rPr>
          <w:rFonts w:ascii="Times New Roman" w:hAnsi="Times New Roman"/>
        </w:rPr>
        <w:t xml:space="preserve"> </w:t>
      </w:r>
      <w:r w:rsidR="0034160C" w:rsidRPr="001F3AF0">
        <w:rPr>
          <w:rFonts w:ascii="Times New Roman" w:hAnsi="Times New Roman"/>
        </w:rPr>
        <w:t xml:space="preserve">pacient </w:t>
      </w:r>
      <w:r w:rsidR="00E5653D" w:rsidRPr="001F3AF0">
        <w:rPr>
          <w:rFonts w:ascii="Times New Roman" w:hAnsi="Times New Roman"/>
        </w:rPr>
        <w:t xml:space="preserve">byl </w:t>
      </w:r>
      <w:r w:rsidR="0034160C" w:rsidRPr="001F3AF0">
        <w:rPr>
          <w:rFonts w:ascii="Times New Roman" w:hAnsi="Times New Roman"/>
        </w:rPr>
        <w:t xml:space="preserve">edukován stran užívání </w:t>
      </w:r>
      <w:r w:rsidR="0034160C" w:rsidRPr="001F3AF0">
        <w:rPr>
          <w:rFonts w:ascii="Times New Roman" w:hAnsi="Times New Roman" w:cs="Times New Roman"/>
        </w:rPr>
        <w:t>a dietního režimu</w:t>
      </w:r>
      <w:r w:rsidR="00E5653D" w:rsidRPr="001F3AF0">
        <w:rPr>
          <w:rFonts w:ascii="Times New Roman" w:hAnsi="Times New Roman" w:cs="Times New Roman"/>
        </w:rPr>
        <w:t xml:space="preserve"> a dodržuje ho</w:t>
      </w:r>
    </w:p>
    <w:p w:rsidR="00353103" w:rsidRPr="001F3AF0" w:rsidRDefault="00353103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</w:rPr>
      </w:pPr>
      <w:r w:rsidRPr="001F3AF0">
        <w:rPr>
          <w:rFonts w:ascii="Times New Roman" w:hAnsi="Times New Roman"/>
        </w:rPr>
        <w:t>Hodnoty INR se hodnotí mimo iniciální fázi léčby</w:t>
      </w:r>
    </w:p>
    <w:p w:rsidR="00353103" w:rsidRPr="001F3AF0" w:rsidRDefault="00353103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</w:rPr>
      </w:pPr>
      <w:r w:rsidRPr="001F3AF0">
        <w:rPr>
          <w:rFonts w:ascii="Times New Roman" w:hAnsi="Times New Roman"/>
        </w:rPr>
        <w:t>Nebudou akceptovány hodnoty měřené v průběhu jednoho týdne metodou POCT</w:t>
      </w:r>
    </w:p>
    <w:p w:rsidR="00621095" w:rsidRPr="001F3AF0" w:rsidRDefault="00621095">
      <w:pPr>
        <w:pStyle w:val="Odstavecseseznamem"/>
        <w:ind w:left="1080"/>
        <w:jc w:val="both"/>
        <w:rPr>
          <w:rFonts w:ascii="Times New Roman" w:hAnsi="Times New Roman"/>
        </w:rPr>
      </w:pPr>
      <w:r w:rsidRPr="001F3AF0">
        <w:rPr>
          <w:rFonts w:ascii="Times New Roman" w:hAnsi="Times New Roman"/>
        </w:rPr>
        <w:t>VZP bude v </w:t>
      </w:r>
      <w:r w:rsidR="0034160C" w:rsidRPr="001F3AF0">
        <w:rPr>
          <w:rFonts w:ascii="Times New Roman" w:hAnsi="Times New Roman"/>
        </w:rPr>
        <w:t xml:space="preserve">této souvislosti akceptovat </w:t>
      </w:r>
      <w:r w:rsidRPr="001F3AF0">
        <w:rPr>
          <w:rFonts w:asciiTheme="majorHAnsi" w:hAnsiTheme="majorHAnsi"/>
        </w:rPr>
        <w:t>také</w:t>
      </w:r>
      <w:r w:rsidRPr="001F3AF0">
        <w:rPr>
          <w:rFonts w:ascii="Times New Roman" w:hAnsi="Times New Roman"/>
        </w:rPr>
        <w:t xml:space="preserve"> situace, kdy je předem známa extrémní citlivost k Warfarinu </w:t>
      </w:r>
      <w:r w:rsidRPr="001F3AF0">
        <w:rPr>
          <w:rFonts w:ascii="Times New Roman" w:hAnsi="Times New Roman" w:cs="Times New Roman"/>
        </w:rPr>
        <w:t>farmako</w:t>
      </w:r>
      <w:r w:rsidR="0034160C" w:rsidRPr="001F3AF0">
        <w:rPr>
          <w:rFonts w:ascii="Times New Roman" w:hAnsi="Times New Roman" w:cs="Times New Roman"/>
        </w:rPr>
        <w:t>-</w:t>
      </w:r>
      <w:r w:rsidRPr="001F3AF0">
        <w:rPr>
          <w:rFonts w:ascii="Times New Roman" w:hAnsi="Times New Roman" w:cs="Times New Roman"/>
        </w:rPr>
        <w:t>genetickým</w:t>
      </w:r>
      <w:r w:rsidRPr="001F3AF0">
        <w:rPr>
          <w:rFonts w:ascii="Times New Roman" w:hAnsi="Times New Roman"/>
        </w:rPr>
        <w:t xml:space="preserve"> vyšetřením indikovaným ještě za hospitalizace pacientům iktových center (3-4 variantní alely CYP2C9 a VKORC1), neboť v těchto situacích je zřejmé, že hodnoty INR nebude možno udržet v terapeutickém rozmezí.</w:t>
      </w:r>
    </w:p>
    <w:p w:rsidR="003227EF" w:rsidRPr="001F3AF0" w:rsidRDefault="003227EF">
      <w:pPr>
        <w:pStyle w:val="Odstavecseseznamem"/>
        <w:ind w:left="1080"/>
        <w:jc w:val="both"/>
        <w:rPr>
          <w:rFonts w:ascii="Times New Roman" w:hAnsi="Times New Roman"/>
        </w:rPr>
      </w:pPr>
    </w:p>
    <w:p w:rsidR="00621095" w:rsidRPr="001F3AF0" w:rsidRDefault="00621095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</w:rPr>
      </w:pPr>
      <w:r w:rsidRPr="001F3AF0">
        <w:rPr>
          <w:rFonts w:ascii="Times New Roman" w:hAnsi="Times New Roman"/>
          <w:b/>
        </w:rPr>
        <w:t>Rezistence na Warfarin</w:t>
      </w:r>
      <w:r w:rsidRPr="001F3AF0">
        <w:rPr>
          <w:rFonts w:ascii="Times New Roman" w:hAnsi="Times New Roman"/>
        </w:rPr>
        <w:t xml:space="preserve"> – pravidlo je </w:t>
      </w:r>
      <w:r w:rsidR="00353103" w:rsidRPr="001F3AF0">
        <w:rPr>
          <w:rFonts w:ascii="Times New Roman" w:hAnsi="Times New Roman"/>
        </w:rPr>
        <w:t>jasně kvantifikované</w:t>
      </w:r>
    </w:p>
    <w:p w:rsidR="00353103" w:rsidRPr="001F3AF0" w:rsidRDefault="00353103">
      <w:pPr>
        <w:jc w:val="both"/>
        <w:rPr>
          <w:rFonts w:ascii="Times New Roman" w:hAnsi="Times New Roman"/>
        </w:rPr>
      </w:pPr>
      <w:r w:rsidRPr="001F3AF0">
        <w:rPr>
          <w:rFonts w:ascii="Times New Roman" w:hAnsi="Times New Roman"/>
        </w:rPr>
        <w:t>Mimo to bude VZP akceptovat preskripci NOAC v následujících situacích:</w:t>
      </w:r>
    </w:p>
    <w:p w:rsidR="00353103" w:rsidRPr="001F3AF0" w:rsidRDefault="00353103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b/>
        </w:rPr>
      </w:pPr>
      <w:r w:rsidRPr="001F3AF0">
        <w:rPr>
          <w:rFonts w:ascii="Times New Roman" w:hAnsi="Times New Roman"/>
          <w:b/>
        </w:rPr>
        <w:t>Možnost časné kardioverze u pacientů s FS a nízkým rizikem (0-1)</w:t>
      </w:r>
    </w:p>
    <w:p w:rsidR="00353103" w:rsidRPr="001F3AF0" w:rsidRDefault="00353103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</w:rPr>
      </w:pPr>
      <w:r w:rsidRPr="001F3AF0">
        <w:rPr>
          <w:rFonts w:ascii="Times New Roman" w:hAnsi="Times New Roman"/>
        </w:rPr>
        <w:t>Antikoagulační léčba pokračuje 4 týdny po provedené kardioverzi</w:t>
      </w:r>
    </w:p>
    <w:p w:rsidR="00353103" w:rsidRPr="001F3AF0" w:rsidRDefault="00353103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</w:rPr>
      </w:pPr>
      <w:r w:rsidRPr="001F3AF0">
        <w:rPr>
          <w:rFonts w:ascii="Times New Roman" w:hAnsi="Times New Roman"/>
        </w:rPr>
        <w:t xml:space="preserve">Při zdokumentovaném stabilním SR možno po této době léčbu </w:t>
      </w:r>
      <w:r w:rsidR="006E3C43" w:rsidRPr="001F3AF0">
        <w:rPr>
          <w:rFonts w:ascii="Times New Roman" w:hAnsi="Times New Roman"/>
        </w:rPr>
        <w:t xml:space="preserve">NOAC </w:t>
      </w:r>
      <w:r w:rsidRPr="001F3AF0">
        <w:rPr>
          <w:rFonts w:ascii="Times New Roman" w:hAnsi="Times New Roman"/>
        </w:rPr>
        <w:t>ukončit</w:t>
      </w:r>
    </w:p>
    <w:p w:rsidR="00353103" w:rsidRPr="001F3AF0" w:rsidRDefault="00353103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</w:rPr>
      </w:pPr>
      <w:r w:rsidRPr="001F3AF0">
        <w:rPr>
          <w:rFonts w:ascii="Times New Roman" w:hAnsi="Times New Roman"/>
        </w:rPr>
        <w:t>Preskripci může zajistit i ambulantní specialista mimo kardiocentrum</w:t>
      </w:r>
    </w:p>
    <w:p w:rsidR="00353103" w:rsidRPr="001F3AF0" w:rsidRDefault="00353103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b/>
        </w:rPr>
      </w:pPr>
      <w:r w:rsidRPr="001F3AF0">
        <w:rPr>
          <w:rFonts w:ascii="Times New Roman" w:hAnsi="Times New Roman"/>
          <w:b/>
        </w:rPr>
        <w:t>Katetrizační ablace fibrilace síní u nízkorizikových pacientů s paroxysmální FS bez strukturálního postižení myokardu</w:t>
      </w:r>
    </w:p>
    <w:p w:rsidR="00353103" w:rsidRPr="001F3AF0" w:rsidRDefault="00353103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</w:rPr>
      </w:pPr>
      <w:r w:rsidRPr="001F3AF0">
        <w:rPr>
          <w:rFonts w:ascii="Times New Roman" w:hAnsi="Times New Roman"/>
        </w:rPr>
        <w:t xml:space="preserve">Léčba </w:t>
      </w:r>
      <w:r w:rsidR="00E5653D" w:rsidRPr="001F3AF0">
        <w:rPr>
          <w:rFonts w:ascii="Times New Roman" w:hAnsi="Times New Roman"/>
        </w:rPr>
        <w:t>N</w:t>
      </w:r>
      <w:r w:rsidRPr="001F3AF0">
        <w:rPr>
          <w:rFonts w:ascii="Times New Roman" w:hAnsi="Times New Roman"/>
        </w:rPr>
        <w:t>OAC po dobu 3 měsíců po provedení katetrizační ablace</w:t>
      </w:r>
    </w:p>
    <w:p w:rsidR="00353103" w:rsidRPr="001F3AF0" w:rsidRDefault="00353103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</w:rPr>
      </w:pPr>
      <w:r w:rsidRPr="001F3AF0">
        <w:rPr>
          <w:rFonts w:ascii="Times New Roman" w:hAnsi="Times New Roman"/>
        </w:rPr>
        <w:t xml:space="preserve">Při zdokumentovaném SR (7 denní holterovské monitorování) </w:t>
      </w:r>
      <w:r w:rsidR="00481B38" w:rsidRPr="001F3AF0">
        <w:rPr>
          <w:rFonts w:ascii="Times New Roman" w:hAnsi="Times New Roman"/>
        </w:rPr>
        <w:t xml:space="preserve"> a nízkém riziku tromboembolizmu </w:t>
      </w:r>
      <w:r w:rsidRPr="001F3AF0">
        <w:rPr>
          <w:rFonts w:ascii="Times New Roman" w:hAnsi="Times New Roman"/>
        </w:rPr>
        <w:t>možno léčbu ukončit</w:t>
      </w:r>
    </w:p>
    <w:p w:rsidR="00353103" w:rsidRPr="001F3AF0" w:rsidRDefault="00353103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</w:rPr>
      </w:pPr>
      <w:r w:rsidRPr="001F3AF0">
        <w:rPr>
          <w:rFonts w:ascii="Times New Roman" w:hAnsi="Times New Roman"/>
        </w:rPr>
        <w:t>Preskripci zajišťuje vždy kardiolog kardiocentra</w:t>
      </w:r>
    </w:p>
    <w:p w:rsidR="00321639" w:rsidRPr="00AB7AF7" w:rsidRDefault="00321639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b/>
          <w:sz w:val="20"/>
          <w:highlight w:val="yellow"/>
        </w:rPr>
      </w:pPr>
      <w:r w:rsidRPr="00AB7AF7">
        <w:rPr>
          <w:rFonts w:ascii="Times New Roman" w:hAnsi="Times New Roman"/>
          <w:b/>
          <w:highlight w:val="yellow"/>
        </w:rPr>
        <w:t>Pacient po prodělané ischemické CMP s vysokým rizikem intrakraniálního krvácení:</w:t>
      </w:r>
    </w:p>
    <w:p w:rsidR="00321639" w:rsidRPr="00AB7AF7" w:rsidRDefault="00321639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b/>
          <w:sz w:val="20"/>
          <w:highlight w:val="yellow"/>
        </w:rPr>
      </w:pPr>
      <w:r w:rsidRPr="00AB7AF7">
        <w:rPr>
          <w:rFonts w:ascii="Times New Roman" w:hAnsi="Times New Roman"/>
          <w:highlight w:val="yellow"/>
        </w:rPr>
        <w:t>Pacienti indikovaní k antikoagulační léčbě s vysoce rizikovými zdroji potenciálního intrakraniálního krvácení (AV malformace, kavernomy)</w:t>
      </w:r>
    </w:p>
    <w:p w:rsidR="00BF7309" w:rsidRPr="00AB7AF7" w:rsidRDefault="00BF7309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b/>
          <w:sz w:val="20"/>
          <w:highlight w:val="yellow"/>
        </w:rPr>
      </w:pPr>
      <w:r w:rsidRPr="00AB7AF7">
        <w:rPr>
          <w:rFonts w:ascii="Times New Roman" w:hAnsi="Times New Roman"/>
          <w:highlight w:val="yellow"/>
        </w:rPr>
        <w:t>Preskripce bude zajištěna pracovišti neurologie</w:t>
      </w:r>
    </w:p>
    <w:p w:rsidR="00353103" w:rsidRPr="001F3AF0" w:rsidRDefault="00353103">
      <w:pPr>
        <w:jc w:val="both"/>
        <w:rPr>
          <w:rFonts w:ascii="Times New Roman" w:hAnsi="Times New Roman"/>
        </w:rPr>
      </w:pPr>
      <w:r w:rsidRPr="001F3AF0">
        <w:rPr>
          <w:rFonts w:ascii="Times New Roman" w:hAnsi="Times New Roman"/>
        </w:rPr>
        <w:t>Dále je třeba upozornit na následující situace:</w:t>
      </w:r>
    </w:p>
    <w:p w:rsidR="00353103" w:rsidRPr="001F3AF0" w:rsidRDefault="00234E53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1F3AF0">
        <w:rPr>
          <w:rFonts w:ascii="Times New Roman" w:hAnsi="Times New Roman" w:cs="Times New Roman"/>
          <w:b/>
        </w:rPr>
        <w:t>N</w:t>
      </w:r>
      <w:r w:rsidR="00353103" w:rsidRPr="001F3AF0">
        <w:rPr>
          <w:rFonts w:ascii="Times New Roman" w:hAnsi="Times New Roman" w:cs="Times New Roman"/>
          <w:b/>
        </w:rPr>
        <w:t>OAC</w:t>
      </w:r>
      <w:r w:rsidR="00353103" w:rsidRPr="001F3AF0">
        <w:rPr>
          <w:rFonts w:ascii="Times New Roman" w:hAnsi="Times New Roman"/>
          <w:b/>
        </w:rPr>
        <w:t xml:space="preserve"> indikovaná a nasazená v kardiocentrech/nemocnicích</w:t>
      </w:r>
      <w:r w:rsidR="007535A4" w:rsidRPr="001F3AF0">
        <w:rPr>
          <w:rFonts w:ascii="Times New Roman" w:hAnsi="Times New Roman"/>
          <w:b/>
        </w:rPr>
        <w:t>:</w:t>
      </w:r>
    </w:p>
    <w:p w:rsidR="007535A4" w:rsidRPr="001F3AF0" w:rsidRDefault="007535A4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</w:rPr>
      </w:pPr>
      <w:r w:rsidRPr="001F3AF0">
        <w:rPr>
          <w:rFonts w:ascii="Times New Roman" w:hAnsi="Times New Roman"/>
        </w:rPr>
        <w:t>léčba může pokračovat jako hrazená služba v ambulantním režimu (tj</w:t>
      </w:r>
      <w:r w:rsidR="006E3C43" w:rsidRPr="001F3AF0">
        <w:rPr>
          <w:rFonts w:ascii="Times New Roman" w:hAnsi="Times New Roman"/>
        </w:rPr>
        <w:t>.</w:t>
      </w:r>
      <w:r w:rsidRPr="001F3AF0">
        <w:rPr>
          <w:rFonts w:ascii="Times New Roman" w:hAnsi="Times New Roman"/>
        </w:rPr>
        <w:t xml:space="preserve"> na recept) v případě, že jsou splněna indikační omezení úhrady</w:t>
      </w:r>
    </w:p>
    <w:p w:rsidR="007535A4" w:rsidRPr="001F3AF0" w:rsidRDefault="007535A4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</w:rPr>
      </w:pPr>
      <w:r w:rsidRPr="001F3AF0">
        <w:rPr>
          <w:rFonts w:ascii="Times New Roman" w:hAnsi="Times New Roman"/>
        </w:rPr>
        <w:t xml:space="preserve">preskripci u pacientů po katetrizační </w:t>
      </w:r>
      <w:r w:rsidR="00BA7265" w:rsidRPr="001F3AF0">
        <w:rPr>
          <w:rFonts w:ascii="Times New Roman" w:hAnsi="Times New Roman"/>
        </w:rPr>
        <w:t>ablaci</w:t>
      </w:r>
      <w:r w:rsidRPr="001F3AF0">
        <w:rPr>
          <w:rFonts w:ascii="Times New Roman" w:hAnsi="Times New Roman"/>
        </w:rPr>
        <w:t xml:space="preserve"> zajišťuje ambulance kardiocentra</w:t>
      </w:r>
    </w:p>
    <w:p w:rsidR="007535A4" w:rsidRPr="001F3AF0" w:rsidRDefault="007535A4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</w:rPr>
      </w:pPr>
      <w:r w:rsidRPr="001F3AF0">
        <w:rPr>
          <w:rFonts w:ascii="Times New Roman" w:hAnsi="Times New Roman"/>
        </w:rPr>
        <w:t xml:space="preserve">preskripce po EKV je zajišťována ošetřujícím kardiologem, zpravidla </w:t>
      </w:r>
      <w:r w:rsidR="006E3C43" w:rsidRPr="001F3AF0">
        <w:rPr>
          <w:rFonts w:ascii="Times New Roman" w:hAnsi="Times New Roman"/>
        </w:rPr>
        <w:t>mimo KC</w:t>
      </w:r>
    </w:p>
    <w:p w:rsidR="007535A4" w:rsidRPr="001F3AF0" w:rsidRDefault="007535A4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</w:rPr>
      </w:pPr>
      <w:r w:rsidRPr="001F3AF0">
        <w:rPr>
          <w:rFonts w:ascii="Times New Roman" w:hAnsi="Times New Roman"/>
        </w:rPr>
        <w:t xml:space="preserve">při nesplnění indikačních kritérií pro úhradu </w:t>
      </w:r>
      <w:r w:rsidR="006E3C43" w:rsidRPr="001F3AF0">
        <w:rPr>
          <w:rFonts w:ascii="Times New Roman" w:hAnsi="Times New Roman"/>
        </w:rPr>
        <w:t>N</w:t>
      </w:r>
      <w:r w:rsidRPr="001F3AF0">
        <w:rPr>
          <w:rFonts w:ascii="Times New Roman" w:hAnsi="Times New Roman"/>
        </w:rPr>
        <w:t>OAC z p</w:t>
      </w:r>
      <w:r w:rsidR="00E5653D" w:rsidRPr="001F3AF0">
        <w:rPr>
          <w:rFonts w:ascii="Times New Roman" w:hAnsi="Times New Roman"/>
        </w:rPr>
        <w:t>rostředků</w:t>
      </w:r>
      <w:r w:rsidR="00234E53" w:rsidRPr="001F3AF0">
        <w:rPr>
          <w:rFonts w:ascii="Times New Roman" w:hAnsi="Times New Roman" w:cs="Times New Roman"/>
        </w:rPr>
        <w:t xml:space="preserve"> </w:t>
      </w:r>
      <w:r w:rsidRPr="001F3AF0">
        <w:rPr>
          <w:rFonts w:ascii="Times New Roman" w:hAnsi="Times New Roman"/>
        </w:rPr>
        <w:t>v</w:t>
      </w:r>
      <w:r w:rsidR="00E5653D" w:rsidRPr="001F3AF0">
        <w:rPr>
          <w:rFonts w:ascii="Times New Roman" w:hAnsi="Times New Roman"/>
        </w:rPr>
        <w:t>eřejného zdravotního pojištění</w:t>
      </w:r>
      <w:r w:rsidRPr="001F3AF0">
        <w:rPr>
          <w:rFonts w:ascii="Times New Roman" w:hAnsi="Times New Roman"/>
        </w:rPr>
        <w:t xml:space="preserve"> je nutný převod na Warfarin event. plná úhrada pacientem</w:t>
      </w:r>
    </w:p>
    <w:p w:rsidR="006E3C43" w:rsidRPr="001F3AF0" w:rsidRDefault="006E3C43">
      <w:pPr>
        <w:pStyle w:val="Odstavecseseznamem"/>
        <w:ind w:left="1440"/>
        <w:jc w:val="both"/>
        <w:rPr>
          <w:rFonts w:ascii="Times New Roman" w:hAnsi="Times New Roman"/>
        </w:rPr>
      </w:pPr>
    </w:p>
    <w:p w:rsidR="007535A4" w:rsidRPr="001F3AF0" w:rsidRDefault="00BA7265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1F3AF0">
        <w:rPr>
          <w:rFonts w:ascii="Times New Roman" w:hAnsi="Times New Roman"/>
          <w:b/>
        </w:rPr>
        <w:t>P</w:t>
      </w:r>
      <w:r w:rsidR="007535A4" w:rsidRPr="001F3AF0">
        <w:rPr>
          <w:rFonts w:ascii="Times New Roman" w:hAnsi="Times New Roman"/>
          <w:b/>
        </w:rPr>
        <w:t>acienti s mechanickou srdeční chlopenní náhradou</w:t>
      </w:r>
    </w:p>
    <w:p w:rsidR="007535A4" w:rsidRPr="001F3AF0" w:rsidRDefault="007535A4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</w:rPr>
      </w:pPr>
      <w:r w:rsidRPr="001F3AF0">
        <w:rPr>
          <w:rFonts w:ascii="Times New Roman" w:hAnsi="Times New Roman"/>
        </w:rPr>
        <w:t>lékem prv</w:t>
      </w:r>
      <w:r w:rsidR="00234E53" w:rsidRPr="001F3AF0">
        <w:rPr>
          <w:rFonts w:ascii="Times New Roman" w:hAnsi="Times New Roman"/>
        </w:rPr>
        <w:t xml:space="preserve">ní volby je Warfarin, podávání </w:t>
      </w:r>
      <w:r w:rsidR="00234E53" w:rsidRPr="001F3AF0">
        <w:rPr>
          <w:rFonts w:ascii="Times New Roman" w:hAnsi="Times New Roman" w:cs="Times New Roman"/>
        </w:rPr>
        <w:t>N</w:t>
      </w:r>
      <w:r w:rsidRPr="001F3AF0">
        <w:rPr>
          <w:rFonts w:ascii="Times New Roman" w:hAnsi="Times New Roman" w:cs="Times New Roman"/>
        </w:rPr>
        <w:t>OAC</w:t>
      </w:r>
      <w:r w:rsidRPr="001F3AF0">
        <w:rPr>
          <w:rFonts w:ascii="Times New Roman" w:hAnsi="Times New Roman"/>
        </w:rPr>
        <w:t xml:space="preserve"> je postupem non lege artis</w:t>
      </w:r>
    </w:p>
    <w:p w:rsidR="006E3C43" w:rsidRPr="001F3AF0" w:rsidRDefault="006E3C43">
      <w:pPr>
        <w:pStyle w:val="Odstavecseseznamem"/>
        <w:ind w:left="1440"/>
        <w:jc w:val="both"/>
        <w:rPr>
          <w:rFonts w:ascii="Times New Roman" w:hAnsi="Times New Roman"/>
        </w:rPr>
      </w:pPr>
    </w:p>
    <w:p w:rsidR="007535A4" w:rsidRPr="001F3AF0" w:rsidRDefault="003227EF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1F3AF0">
        <w:rPr>
          <w:rFonts w:ascii="Times New Roman" w:hAnsi="Times New Roman"/>
          <w:b/>
        </w:rPr>
        <w:t>Stanov</w:t>
      </w:r>
      <w:r w:rsidR="007535A4" w:rsidRPr="001F3AF0">
        <w:rPr>
          <w:rFonts w:ascii="Times New Roman" w:hAnsi="Times New Roman"/>
          <w:b/>
        </w:rPr>
        <w:t>ení rizika TE a krvácení</w:t>
      </w:r>
    </w:p>
    <w:p w:rsidR="007535A4" w:rsidRPr="00AB7AF7" w:rsidRDefault="007535A4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highlight w:val="yellow"/>
        </w:rPr>
      </w:pPr>
      <w:r w:rsidRPr="00AB7AF7">
        <w:rPr>
          <w:rFonts w:ascii="Times New Roman" w:hAnsi="Times New Roman"/>
          <w:highlight w:val="yellow"/>
        </w:rPr>
        <w:t>V dokumentaci je vždy nutné uvést CHA2DS2-VASc skóre a HAS</w:t>
      </w:r>
      <w:r w:rsidR="006E3C43" w:rsidRPr="00AB7AF7">
        <w:rPr>
          <w:rFonts w:ascii="Times New Roman" w:hAnsi="Times New Roman"/>
          <w:highlight w:val="yellow"/>
        </w:rPr>
        <w:t>-</w:t>
      </w:r>
      <w:r w:rsidRPr="00AB7AF7">
        <w:rPr>
          <w:rFonts w:ascii="Times New Roman" w:hAnsi="Times New Roman"/>
          <w:highlight w:val="yellow"/>
        </w:rPr>
        <w:t>BLED skóre na základě kalkulace rizikových faktorů</w:t>
      </w:r>
    </w:p>
    <w:p w:rsidR="00C54E2A" w:rsidRDefault="00C54E2A" w:rsidP="00EC0C1A">
      <w:pPr>
        <w:jc w:val="both"/>
        <w:rPr>
          <w:rFonts w:ascii="Times New Roman" w:hAnsi="Times New Roman"/>
        </w:rPr>
      </w:pPr>
    </w:p>
    <w:p w:rsidR="00C54E2A" w:rsidRPr="00EC0C1A" w:rsidRDefault="00C54E2A" w:rsidP="00EC0C1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Úhrada NOAC v indikaci léčby a sekundární prevence žilního tromboembolizmu a jeho komplikací se řídí pravidly stanovenými SÚKLem, případná úhrada prolongované léčby se řídí ustanovením §16 zák. 48/1997 Sb ve znění pozdějších předpisů.</w:t>
      </w:r>
    </w:p>
    <w:p w:rsidR="00022EAA" w:rsidRPr="001F3AF0" w:rsidRDefault="00022EAA">
      <w:pPr>
        <w:pStyle w:val="Odstavecseseznamem"/>
        <w:ind w:left="1440"/>
        <w:jc w:val="both"/>
        <w:rPr>
          <w:rFonts w:ascii="Times New Roman" w:hAnsi="Times New Roman"/>
        </w:rPr>
      </w:pPr>
    </w:p>
    <w:p w:rsidR="00BF7309" w:rsidRPr="001F3AF0" w:rsidRDefault="00BF7309" w:rsidP="00EC0C1A">
      <w:pPr>
        <w:jc w:val="both"/>
        <w:rPr>
          <w:rFonts w:ascii="Times New Roman" w:hAnsi="Times New Roman" w:cs="Times New Roman"/>
        </w:rPr>
      </w:pPr>
      <w:r w:rsidRPr="001F3AF0">
        <w:rPr>
          <w:rFonts w:ascii="Times New Roman" w:hAnsi="Times New Roman" w:cs="Times New Roman"/>
        </w:rPr>
        <w:t>Současně upozorňujeme, že počínaje 1.6.2016 mají LP:</w:t>
      </w:r>
    </w:p>
    <w:tbl>
      <w:tblPr>
        <w:tblW w:w="9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0"/>
        <w:gridCol w:w="5320"/>
        <w:gridCol w:w="3220"/>
      </w:tblGrid>
      <w:tr w:rsidR="001F3AF0" w:rsidRPr="001F3AF0" w:rsidTr="00AB7AF7">
        <w:trPr>
          <w:trHeight w:val="22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09" w:rsidRPr="001F3AF0" w:rsidRDefault="00BF7309" w:rsidP="00EC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1F3AF0">
              <w:rPr>
                <w:rFonts w:ascii="Times New Roman" w:eastAsia="Times New Roman" w:hAnsi="Times New Roman" w:cs="Times New Roman"/>
                <w:lang w:eastAsia="cs-CZ"/>
              </w:rPr>
              <w:t>0168326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09" w:rsidRPr="001F3AF0" w:rsidRDefault="00BF7309" w:rsidP="00EC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1F3AF0">
              <w:rPr>
                <w:rFonts w:ascii="Times New Roman" w:eastAsia="Times New Roman" w:hAnsi="Times New Roman" w:cs="Times New Roman"/>
                <w:lang w:eastAsia="cs-CZ"/>
              </w:rPr>
              <w:t>ELIQUIS 2,5 MG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09" w:rsidRPr="001F3AF0" w:rsidRDefault="00BF7309" w:rsidP="00EC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1F3AF0">
              <w:rPr>
                <w:rFonts w:ascii="Times New Roman" w:eastAsia="Times New Roman" w:hAnsi="Times New Roman" w:cs="Times New Roman"/>
                <w:lang w:eastAsia="cs-CZ"/>
              </w:rPr>
              <w:t>POR TBL FLM 20X2,5MG</w:t>
            </w:r>
          </w:p>
        </w:tc>
      </w:tr>
      <w:tr w:rsidR="001F3AF0" w:rsidRPr="001F3AF0" w:rsidTr="00AB7AF7">
        <w:trPr>
          <w:trHeight w:val="22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09" w:rsidRPr="001F3AF0" w:rsidRDefault="00BF7309" w:rsidP="00EC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1F3AF0">
              <w:rPr>
                <w:rFonts w:ascii="Times New Roman" w:eastAsia="Times New Roman" w:hAnsi="Times New Roman" w:cs="Times New Roman"/>
                <w:lang w:eastAsia="cs-CZ"/>
              </w:rPr>
              <w:t>0168328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09" w:rsidRPr="001F3AF0" w:rsidRDefault="00BF7309" w:rsidP="00EC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1F3AF0">
              <w:rPr>
                <w:rFonts w:ascii="Times New Roman" w:eastAsia="Times New Roman" w:hAnsi="Times New Roman" w:cs="Times New Roman"/>
                <w:lang w:eastAsia="cs-CZ"/>
              </w:rPr>
              <w:t>ELIQUIS 2,5 MG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09" w:rsidRPr="001F3AF0" w:rsidRDefault="00BF7309" w:rsidP="00EC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1F3AF0">
              <w:rPr>
                <w:rFonts w:ascii="Times New Roman" w:eastAsia="Times New Roman" w:hAnsi="Times New Roman" w:cs="Times New Roman"/>
                <w:lang w:eastAsia="cs-CZ"/>
              </w:rPr>
              <w:t>POR TBL FLM 60X1X2,5MG</w:t>
            </w:r>
          </w:p>
        </w:tc>
      </w:tr>
      <w:tr w:rsidR="001F3AF0" w:rsidRPr="001F3AF0" w:rsidTr="00AB7AF7">
        <w:trPr>
          <w:trHeight w:val="22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09" w:rsidRPr="001F3AF0" w:rsidRDefault="00BF7309" w:rsidP="00EC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1F3AF0">
              <w:rPr>
                <w:rFonts w:ascii="Times New Roman" w:eastAsia="Times New Roman" w:hAnsi="Times New Roman" w:cs="Times New Roman"/>
                <w:lang w:eastAsia="cs-CZ"/>
              </w:rPr>
              <w:t>0168327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09" w:rsidRPr="001F3AF0" w:rsidRDefault="00BF7309" w:rsidP="00EC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1F3AF0">
              <w:rPr>
                <w:rFonts w:ascii="Times New Roman" w:eastAsia="Times New Roman" w:hAnsi="Times New Roman" w:cs="Times New Roman"/>
                <w:lang w:eastAsia="cs-CZ"/>
              </w:rPr>
              <w:t>ELIQUIS 2,5 MG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09" w:rsidRPr="001F3AF0" w:rsidRDefault="00BF7309" w:rsidP="00EC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1F3AF0">
              <w:rPr>
                <w:rFonts w:ascii="Times New Roman" w:eastAsia="Times New Roman" w:hAnsi="Times New Roman" w:cs="Times New Roman"/>
                <w:lang w:eastAsia="cs-CZ"/>
              </w:rPr>
              <w:t>POR TBL FLM 60X2,5MG</w:t>
            </w:r>
          </w:p>
        </w:tc>
      </w:tr>
      <w:tr w:rsidR="001F3AF0" w:rsidRPr="001F3AF0" w:rsidTr="00AB7AF7">
        <w:trPr>
          <w:trHeight w:val="22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09" w:rsidRPr="001F3AF0" w:rsidRDefault="00BF7309" w:rsidP="00EC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1F3AF0">
              <w:rPr>
                <w:rFonts w:ascii="Times New Roman" w:eastAsia="Times New Roman" w:hAnsi="Times New Roman" w:cs="Times New Roman"/>
                <w:lang w:eastAsia="cs-CZ"/>
              </w:rPr>
              <w:t>0029326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09" w:rsidRPr="001F3AF0" w:rsidRDefault="00BF7309" w:rsidP="00EC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1F3AF0">
              <w:rPr>
                <w:rFonts w:ascii="Times New Roman" w:eastAsia="Times New Roman" w:hAnsi="Times New Roman" w:cs="Times New Roman"/>
                <w:lang w:eastAsia="cs-CZ"/>
              </w:rPr>
              <w:t>PRADAXA 110 MG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09" w:rsidRPr="001F3AF0" w:rsidRDefault="00BF7309" w:rsidP="00EC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1F3AF0">
              <w:rPr>
                <w:rFonts w:ascii="Times New Roman" w:eastAsia="Times New Roman" w:hAnsi="Times New Roman" w:cs="Times New Roman"/>
                <w:lang w:eastAsia="cs-CZ"/>
              </w:rPr>
              <w:t>POR CPS DUR 10X1X110MG</w:t>
            </w:r>
          </w:p>
        </w:tc>
      </w:tr>
      <w:tr w:rsidR="001F3AF0" w:rsidRPr="001F3AF0" w:rsidTr="00AB7AF7">
        <w:trPr>
          <w:trHeight w:val="22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09" w:rsidRPr="001F3AF0" w:rsidRDefault="00BF7309" w:rsidP="00EC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1F3AF0">
              <w:rPr>
                <w:rFonts w:ascii="Times New Roman" w:eastAsia="Times New Roman" w:hAnsi="Times New Roman" w:cs="Times New Roman"/>
                <w:lang w:eastAsia="cs-CZ"/>
              </w:rPr>
              <w:t>0029327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09" w:rsidRPr="001F3AF0" w:rsidRDefault="00BF7309" w:rsidP="00EC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1F3AF0">
              <w:rPr>
                <w:rFonts w:ascii="Times New Roman" w:eastAsia="Times New Roman" w:hAnsi="Times New Roman" w:cs="Times New Roman"/>
                <w:lang w:eastAsia="cs-CZ"/>
              </w:rPr>
              <w:t>PRADAXA 110 MG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09" w:rsidRPr="001F3AF0" w:rsidRDefault="00BF7309" w:rsidP="00EC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1F3AF0">
              <w:rPr>
                <w:rFonts w:ascii="Times New Roman" w:eastAsia="Times New Roman" w:hAnsi="Times New Roman" w:cs="Times New Roman"/>
                <w:lang w:eastAsia="cs-CZ"/>
              </w:rPr>
              <w:t>POR CPS DUR 30X1X110MG</w:t>
            </w:r>
          </w:p>
        </w:tc>
      </w:tr>
      <w:tr w:rsidR="001F3AF0" w:rsidRPr="001F3AF0" w:rsidTr="00AB7AF7">
        <w:trPr>
          <w:trHeight w:val="22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09" w:rsidRPr="001F3AF0" w:rsidRDefault="00BF7309" w:rsidP="00EC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1F3AF0">
              <w:rPr>
                <w:rFonts w:ascii="Times New Roman" w:eastAsia="Times New Roman" w:hAnsi="Times New Roman" w:cs="Times New Roman"/>
                <w:lang w:eastAsia="cs-CZ"/>
              </w:rPr>
              <w:t>0029328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09" w:rsidRPr="001F3AF0" w:rsidRDefault="00BF7309" w:rsidP="00EC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1F3AF0">
              <w:rPr>
                <w:rFonts w:ascii="Times New Roman" w:eastAsia="Times New Roman" w:hAnsi="Times New Roman" w:cs="Times New Roman"/>
                <w:lang w:eastAsia="cs-CZ"/>
              </w:rPr>
              <w:t>PRADAXA 110 MG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09" w:rsidRPr="001F3AF0" w:rsidRDefault="00BF7309" w:rsidP="00EC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1F3AF0">
              <w:rPr>
                <w:rFonts w:ascii="Times New Roman" w:eastAsia="Times New Roman" w:hAnsi="Times New Roman" w:cs="Times New Roman"/>
                <w:lang w:eastAsia="cs-CZ"/>
              </w:rPr>
              <w:t>POR CPS DUR 60X1X110MG</w:t>
            </w:r>
          </w:p>
        </w:tc>
      </w:tr>
    </w:tbl>
    <w:p w:rsidR="00BF7309" w:rsidRPr="001F3AF0" w:rsidRDefault="00BF7309" w:rsidP="00EC0C1A">
      <w:pPr>
        <w:jc w:val="both"/>
        <w:rPr>
          <w:rFonts w:ascii="Times New Roman" w:hAnsi="Times New Roman" w:cs="Times New Roman"/>
        </w:rPr>
      </w:pPr>
    </w:p>
    <w:p w:rsidR="00BF7309" w:rsidRDefault="001F3AF0" w:rsidP="00EC0C1A">
      <w:pPr>
        <w:jc w:val="both"/>
        <w:rPr>
          <w:rFonts w:ascii="Times New Roman" w:hAnsi="Times New Roman" w:cs="Times New Roman"/>
        </w:rPr>
      </w:pPr>
      <w:r w:rsidRPr="001F3AF0">
        <w:rPr>
          <w:rFonts w:ascii="Times New Roman" w:hAnsi="Times New Roman" w:cs="Times New Roman"/>
        </w:rPr>
        <w:t>z</w:t>
      </w:r>
      <w:r w:rsidR="00BF7309" w:rsidRPr="001F3AF0">
        <w:rPr>
          <w:rFonts w:ascii="Times New Roman" w:hAnsi="Times New Roman" w:cs="Times New Roman"/>
        </w:rPr>
        <w:t xml:space="preserve">měněno indikační omezení úhrady. Tyto LP mají stanovenu jednak úhradu základní  v indikaci plánované TEP kolene/kyčle, a jednak </w:t>
      </w:r>
      <w:r w:rsidRPr="001F3AF0">
        <w:rPr>
          <w:rFonts w:ascii="Times New Roman" w:hAnsi="Times New Roman" w:cs="Times New Roman"/>
        </w:rPr>
        <w:t xml:space="preserve">druhou </w:t>
      </w:r>
      <w:r w:rsidR="00BF7309" w:rsidRPr="001F3AF0">
        <w:rPr>
          <w:rFonts w:ascii="Times New Roman" w:hAnsi="Times New Roman" w:cs="Times New Roman"/>
        </w:rPr>
        <w:t xml:space="preserve">úhradu v indikaci prevence cévní mozkové příhody či žilní tromboembolizmus. Při preskripci těchto LP v druhých jmenovaných indikacích </w:t>
      </w:r>
      <w:r w:rsidR="00BF7309" w:rsidRPr="00AB7AF7">
        <w:rPr>
          <w:rFonts w:ascii="Times New Roman" w:hAnsi="Times New Roman" w:cs="Times New Roman"/>
          <w:highlight w:val="yellow"/>
        </w:rPr>
        <w:t>je tedy třeba na recept uvádět „zvýšená úhrada“ a kód diagnózy, k níž se preskripce váže.</w:t>
      </w:r>
    </w:p>
    <w:p w:rsidR="00E636DD" w:rsidRPr="001F3AF0" w:rsidRDefault="00E636DD" w:rsidP="00EC0C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 aktuální znění indikačních omezení úhrady </w:t>
      </w:r>
      <w:r w:rsidR="0069352A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 xml:space="preserve">e vhodné sledovat </w:t>
      </w:r>
      <w:r w:rsidR="0069352A">
        <w:rPr>
          <w:rFonts w:ascii="Times New Roman" w:hAnsi="Times New Roman" w:cs="Times New Roman"/>
        </w:rPr>
        <w:t xml:space="preserve">průběžně </w:t>
      </w:r>
      <w:r>
        <w:rPr>
          <w:rFonts w:ascii="Times New Roman" w:hAnsi="Times New Roman" w:cs="Times New Roman"/>
        </w:rPr>
        <w:t>stránky SUKLu.</w:t>
      </w:r>
    </w:p>
    <w:p w:rsidR="00BF7309" w:rsidRPr="001F3AF0" w:rsidRDefault="00BF7309">
      <w:pPr>
        <w:pStyle w:val="Odstavecseseznamem"/>
        <w:ind w:left="1080"/>
        <w:jc w:val="both"/>
        <w:rPr>
          <w:rFonts w:ascii="Times New Roman" w:hAnsi="Times New Roman"/>
        </w:rPr>
      </w:pPr>
    </w:p>
    <w:sectPr w:rsidR="00BF7309" w:rsidRPr="001F3AF0" w:rsidSect="00C45D4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AF7" w:rsidRDefault="00AB7AF7" w:rsidP="00321639">
      <w:pPr>
        <w:spacing w:after="0" w:line="240" w:lineRule="auto"/>
      </w:pPr>
      <w:r>
        <w:separator/>
      </w:r>
    </w:p>
  </w:endnote>
  <w:endnote w:type="continuationSeparator" w:id="0">
    <w:p w:rsidR="00AB7AF7" w:rsidRDefault="00AB7AF7" w:rsidP="00321639">
      <w:pPr>
        <w:spacing w:after="0" w:line="240" w:lineRule="auto"/>
      </w:pPr>
      <w:r>
        <w:continuationSeparator/>
      </w:r>
    </w:p>
  </w:endnote>
  <w:endnote w:type="continuationNotice" w:id="1">
    <w:p w:rsidR="00AB7AF7" w:rsidRDefault="00AB7A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7814843"/>
      <w:docPartObj>
        <w:docPartGallery w:val="Page Numbers (Bottom of Page)"/>
        <w:docPartUnique/>
      </w:docPartObj>
    </w:sdtPr>
    <w:sdtContent>
      <w:p w:rsidR="00AB7AF7" w:rsidRDefault="00AB7AF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DE8">
          <w:rPr>
            <w:noProof/>
          </w:rPr>
          <w:t>4</w:t>
        </w:r>
        <w:r>
          <w:fldChar w:fldCharType="end"/>
        </w:r>
      </w:p>
    </w:sdtContent>
  </w:sdt>
  <w:p w:rsidR="00AB7AF7" w:rsidRDefault="00AB7AF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AF7" w:rsidRDefault="00AB7AF7" w:rsidP="00321639">
      <w:pPr>
        <w:spacing w:after="0" w:line="240" w:lineRule="auto"/>
      </w:pPr>
      <w:r>
        <w:separator/>
      </w:r>
    </w:p>
  </w:footnote>
  <w:footnote w:type="continuationSeparator" w:id="0">
    <w:p w:rsidR="00AB7AF7" w:rsidRDefault="00AB7AF7" w:rsidP="00321639">
      <w:pPr>
        <w:spacing w:after="0" w:line="240" w:lineRule="auto"/>
      </w:pPr>
      <w:r>
        <w:continuationSeparator/>
      </w:r>
    </w:p>
  </w:footnote>
  <w:footnote w:type="continuationNotice" w:id="1">
    <w:p w:rsidR="00AB7AF7" w:rsidRDefault="00AB7A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AF7" w:rsidRDefault="00AB7AF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6348"/>
    <w:multiLevelType w:val="hybridMultilevel"/>
    <w:tmpl w:val="2794CB18"/>
    <w:lvl w:ilvl="0" w:tplc="F320BCA4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643CCB4E" w:tentative="1">
      <w:start w:val="1"/>
      <w:numFmt w:val="bullet"/>
      <w:lvlText w:val="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28E42D72" w:tentative="1">
      <w:start w:val="1"/>
      <w:numFmt w:val="bullet"/>
      <w:lvlText w:val="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DC1481F2" w:tentative="1">
      <w:start w:val="1"/>
      <w:numFmt w:val="bullet"/>
      <w:lvlText w:val="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B01E1688" w:tentative="1">
      <w:start w:val="1"/>
      <w:numFmt w:val="bullet"/>
      <w:lvlText w:val="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C22CC074" w:tentative="1">
      <w:start w:val="1"/>
      <w:numFmt w:val="bullet"/>
      <w:lvlText w:val="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D60AD37A" w:tentative="1">
      <w:start w:val="1"/>
      <w:numFmt w:val="bullet"/>
      <w:lvlText w:val="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9726F180" w:tentative="1">
      <w:start w:val="1"/>
      <w:numFmt w:val="bullet"/>
      <w:lvlText w:val="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77EAC5A4" w:tentative="1">
      <w:start w:val="1"/>
      <w:numFmt w:val="bullet"/>
      <w:lvlText w:val="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066F76D1"/>
    <w:multiLevelType w:val="hybridMultilevel"/>
    <w:tmpl w:val="26B44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20BA4"/>
    <w:multiLevelType w:val="hybridMultilevel"/>
    <w:tmpl w:val="916A39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322A2"/>
    <w:multiLevelType w:val="hybridMultilevel"/>
    <w:tmpl w:val="48C8AD10"/>
    <w:lvl w:ilvl="0" w:tplc="F0CA1F0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D7C22"/>
    <w:multiLevelType w:val="hybridMultilevel"/>
    <w:tmpl w:val="1DA6D83C"/>
    <w:lvl w:ilvl="0" w:tplc="E3E67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670CFF"/>
    <w:multiLevelType w:val="hybridMultilevel"/>
    <w:tmpl w:val="695EBE4C"/>
    <w:lvl w:ilvl="0" w:tplc="1C24FA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F699C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A4F0E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67B8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A6066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CE3AB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1C7D1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CC02E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1A1D8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9A4C90"/>
    <w:multiLevelType w:val="hybridMultilevel"/>
    <w:tmpl w:val="6C5EF28A"/>
    <w:lvl w:ilvl="0" w:tplc="A154B1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886900"/>
    <w:multiLevelType w:val="hybridMultilevel"/>
    <w:tmpl w:val="C4C077E6"/>
    <w:lvl w:ilvl="0" w:tplc="12907DF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F8D9E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76590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9883F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EE11B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743BC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A211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9E776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4E3BF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DC78C0"/>
    <w:multiLevelType w:val="hybridMultilevel"/>
    <w:tmpl w:val="6902F5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E588F"/>
    <w:multiLevelType w:val="hybridMultilevel"/>
    <w:tmpl w:val="9FF6485A"/>
    <w:lvl w:ilvl="0" w:tplc="95A2FF46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D56524"/>
    <w:multiLevelType w:val="hybridMultilevel"/>
    <w:tmpl w:val="43FEBAD2"/>
    <w:lvl w:ilvl="0" w:tplc="D386494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F21D50"/>
    <w:multiLevelType w:val="hybridMultilevel"/>
    <w:tmpl w:val="8C2863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4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5"/>
  </w:num>
  <w:num w:numId="10">
    <w:abstractNumId w:val="7"/>
  </w:num>
  <w:num w:numId="11">
    <w:abstractNumId w:val="10"/>
  </w:num>
  <w:num w:numId="12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loš Táborský">
    <w15:presenceInfo w15:providerId="Windows Live" w15:userId="f719722cad3084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41"/>
    <w:rsid w:val="00003490"/>
    <w:rsid w:val="00022EAA"/>
    <w:rsid w:val="00046196"/>
    <w:rsid w:val="00066404"/>
    <w:rsid w:val="00094F65"/>
    <w:rsid w:val="000A0741"/>
    <w:rsid w:val="000B2616"/>
    <w:rsid w:val="00106A7B"/>
    <w:rsid w:val="00116DAC"/>
    <w:rsid w:val="00184527"/>
    <w:rsid w:val="001B6D0D"/>
    <w:rsid w:val="001F3AF0"/>
    <w:rsid w:val="00234E53"/>
    <w:rsid w:val="00282C68"/>
    <w:rsid w:val="00321639"/>
    <w:rsid w:val="003227EF"/>
    <w:rsid w:val="0034160C"/>
    <w:rsid w:val="00353103"/>
    <w:rsid w:val="00356340"/>
    <w:rsid w:val="003D0E3A"/>
    <w:rsid w:val="003E18CF"/>
    <w:rsid w:val="003F6934"/>
    <w:rsid w:val="00435BA1"/>
    <w:rsid w:val="00441B95"/>
    <w:rsid w:val="004675C7"/>
    <w:rsid w:val="00481B38"/>
    <w:rsid w:val="00486D6B"/>
    <w:rsid w:val="0057354D"/>
    <w:rsid w:val="00587D92"/>
    <w:rsid w:val="005F09B1"/>
    <w:rsid w:val="00602FB4"/>
    <w:rsid w:val="00621095"/>
    <w:rsid w:val="00657A0A"/>
    <w:rsid w:val="0069352A"/>
    <w:rsid w:val="006E3C43"/>
    <w:rsid w:val="0073440D"/>
    <w:rsid w:val="007535A4"/>
    <w:rsid w:val="00777A86"/>
    <w:rsid w:val="00782A1F"/>
    <w:rsid w:val="007F2224"/>
    <w:rsid w:val="00860EBB"/>
    <w:rsid w:val="008D6233"/>
    <w:rsid w:val="00907C0B"/>
    <w:rsid w:val="00971DE8"/>
    <w:rsid w:val="00995845"/>
    <w:rsid w:val="009F3465"/>
    <w:rsid w:val="00A24D28"/>
    <w:rsid w:val="00A36472"/>
    <w:rsid w:val="00AB7AF7"/>
    <w:rsid w:val="00AF47AA"/>
    <w:rsid w:val="00B10807"/>
    <w:rsid w:val="00B11B61"/>
    <w:rsid w:val="00B63983"/>
    <w:rsid w:val="00BA48E9"/>
    <w:rsid w:val="00BA7265"/>
    <w:rsid w:val="00BF7309"/>
    <w:rsid w:val="00C45D47"/>
    <w:rsid w:val="00C542D7"/>
    <w:rsid w:val="00C54E2A"/>
    <w:rsid w:val="00C929AD"/>
    <w:rsid w:val="00CA76B6"/>
    <w:rsid w:val="00CB3301"/>
    <w:rsid w:val="00D73942"/>
    <w:rsid w:val="00D97339"/>
    <w:rsid w:val="00DB4AE1"/>
    <w:rsid w:val="00DC2B87"/>
    <w:rsid w:val="00E138AD"/>
    <w:rsid w:val="00E5653D"/>
    <w:rsid w:val="00E636DD"/>
    <w:rsid w:val="00E64DF1"/>
    <w:rsid w:val="00EA3AC4"/>
    <w:rsid w:val="00EA44CA"/>
    <w:rsid w:val="00EC0C1A"/>
    <w:rsid w:val="00ED7E6A"/>
    <w:rsid w:val="00F13E94"/>
    <w:rsid w:val="00FF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F47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074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F47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AF47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F47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AF47A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321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1639"/>
  </w:style>
  <w:style w:type="paragraph" w:styleId="Zpat">
    <w:name w:val="footer"/>
    <w:basedOn w:val="Normln"/>
    <w:link w:val="ZpatChar"/>
    <w:uiPriority w:val="99"/>
    <w:unhideWhenUsed/>
    <w:rsid w:val="00321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1639"/>
  </w:style>
  <w:style w:type="paragraph" w:styleId="Textbubliny">
    <w:name w:val="Balloon Text"/>
    <w:basedOn w:val="Normln"/>
    <w:link w:val="TextbublinyChar"/>
    <w:uiPriority w:val="99"/>
    <w:semiHidden/>
    <w:unhideWhenUsed/>
    <w:rsid w:val="00B1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080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F73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30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30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3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30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F47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074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F47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AF47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F47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AF47A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321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1639"/>
  </w:style>
  <w:style w:type="paragraph" w:styleId="Zpat">
    <w:name w:val="footer"/>
    <w:basedOn w:val="Normln"/>
    <w:link w:val="ZpatChar"/>
    <w:uiPriority w:val="99"/>
    <w:unhideWhenUsed/>
    <w:rsid w:val="00321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1639"/>
  </w:style>
  <w:style w:type="paragraph" w:styleId="Textbubliny">
    <w:name w:val="Balloon Text"/>
    <w:basedOn w:val="Normln"/>
    <w:link w:val="TextbublinyChar"/>
    <w:uiPriority w:val="99"/>
    <w:semiHidden/>
    <w:unhideWhenUsed/>
    <w:rsid w:val="00B1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080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F73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30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30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3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3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185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14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32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4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3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356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3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6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4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9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80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02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852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42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675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25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7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62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577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63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720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21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0E21A-9132-4050-BAA2-3C22A127F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1072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uziv</cp:lastModifiedBy>
  <cp:revision>3</cp:revision>
  <cp:lastPrinted>2016-06-21T07:07:00Z</cp:lastPrinted>
  <dcterms:created xsi:type="dcterms:W3CDTF">2016-11-15T13:36:00Z</dcterms:created>
  <dcterms:modified xsi:type="dcterms:W3CDTF">2016-11-15T13:38:00Z</dcterms:modified>
</cp:coreProperties>
</file>